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3454"/>
        <w:gridCol w:w="2839"/>
      </w:tblGrid>
      <w:tr w:rsidR="005773E9" w14:paraId="6D0360D5" w14:textId="77777777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14:paraId="1E688B95" w14:textId="77777777" w:rsidR="005773E9" w:rsidRDefault="006F2309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14:paraId="2BBF82A3" w14:textId="77777777" w:rsidR="005773E9" w:rsidRDefault="006F2309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5773E9" w14:paraId="10B8A0A0" w14:textId="77777777">
        <w:trPr>
          <w:cantSplit/>
          <w:trHeight w:val="2170"/>
        </w:trPr>
        <w:tc>
          <w:tcPr>
            <w:tcW w:w="3346" w:type="dxa"/>
            <w:tcBorders>
              <w:bottom w:val="single" w:sz="8" w:space="0" w:color="00000A"/>
            </w:tcBorders>
            <w:shd w:val="clear" w:color="auto" w:fill="auto"/>
          </w:tcPr>
          <w:p w14:paraId="35A6BF5E" w14:textId="77777777" w:rsidR="005773E9" w:rsidRDefault="006F2309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>
              <w:rPr>
                <w:b/>
                <w:sz w:val="22"/>
              </w:rPr>
              <w:object w:dxaOrig="2630" w:dyaOrig="1440" w14:anchorId="1312E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25pt;height:1in" o:ole="">
                  <v:imagedata r:id="rId8" o:title=""/>
                </v:shape>
                <o:OLEObject Type="Embed" ProgID="Word.Document.8" ShapeID="_x0000_i1025" DrawAspect="Content" ObjectID="_1652726461" r:id="rId9"/>
              </w:object>
            </w:r>
          </w:p>
        </w:tc>
        <w:tc>
          <w:tcPr>
            <w:tcW w:w="345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590859E1" w14:textId="77777777" w:rsidR="005773E9" w:rsidRDefault="006F2309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283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306CF9AF" w14:textId="706E02B6" w:rsidR="005773E9" w:rsidRPr="00A12990" w:rsidRDefault="006F2309">
            <w:pPr>
              <w:widowControl w:val="0"/>
              <w:ind w:left="142"/>
            </w:pPr>
            <w:r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14:paraId="5FB38C75" w14:textId="0D592F24" w:rsidR="005773E9" w:rsidRDefault="006B03C2">
            <w:pPr>
              <w:widowControl w:val="0"/>
              <w:ind w:left="142"/>
            </w:pPr>
            <w:r w:rsidRPr="00E043B7">
              <w:rPr>
                <w:rFonts w:ascii="Arial" w:hAnsi="Arial"/>
                <w:b/>
                <w:sz w:val="40"/>
                <w:szCs w:val="40"/>
              </w:rPr>
              <w:t>19001</w:t>
            </w:r>
            <w:r w:rsidR="006F2309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14:paraId="06205533" w14:textId="77777777" w:rsidR="005773E9" w:rsidRDefault="006F2309">
            <w:pPr>
              <w:widowControl w:val="0"/>
              <w:ind w:left="142"/>
            </w:pPr>
            <w:r>
              <w:rPr>
                <w:rFonts w:ascii="Arial" w:hAnsi="Arial" w:cs="Arial"/>
                <w:b/>
                <w:sz w:val="40"/>
                <w:szCs w:val="40"/>
              </w:rPr>
              <w:t>20ХХ</w:t>
            </w:r>
          </w:p>
          <w:p w14:paraId="21714033" w14:textId="77777777" w:rsidR="005773E9" w:rsidRDefault="006F2309">
            <w:pPr>
              <w:tabs>
                <w:tab w:val="left" w:pos="709"/>
                <w:tab w:val="center" w:pos="4677"/>
                <w:tab w:val="right" w:pos="9355"/>
              </w:tabs>
              <w:ind w:firstLine="14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(проект, 1 редакция)</w:t>
            </w:r>
          </w:p>
        </w:tc>
      </w:tr>
    </w:tbl>
    <w:p w14:paraId="15F6C12A" w14:textId="77777777" w:rsidR="005773E9" w:rsidRDefault="005773E9" w:rsidP="006F2309">
      <w:pPr>
        <w:widowControl w:val="0"/>
        <w:rPr>
          <w:rFonts w:ascii="Arial" w:hAnsi="Arial" w:cs="Arial"/>
          <w:b/>
          <w:bCs/>
        </w:rPr>
      </w:pPr>
    </w:p>
    <w:p w14:paraId="365D3416" w14:textId="77777777" w:rsidR="005773E9" w:rsidRDefault="005773E9" w:rsidP="006F2309">
      <w:pPr>
        <w:rPr>
          <w:rFonts w:ascii="Arial" w:hAnsi="Arial" w:cs="Arial"/>
          <w:b/>
        </w:rPr>
      </w:pPr>
    </w:p>
    <w:p w14:paraId="6ADA3491" w14:textId="21AEA9CF" w:rsidR="006B03C2" w:rsidRPr="006B03C2" w:rsidRDefault="006B03C2" w:rsidP="006B03C2">
      <w:pPr>
        <w:pStyle w:val="af1"/>
        <w:jc w:val="center"/>
        <w:rPr>
          <w:rFonts w:ascii="Arial" w:hAnsi="Arial" w:cs="Arial"/>
          <w:b/>
          <w:bCs/>
          <w:sz w:val="32"/>
          <w:szCs w:val="32"/>
        </w:rPr>
      </w:pPr>
      <w:r w:rsidRPr="006B03C2">
        <w:rPr>
          <w:rFonts w:ascii="Arial" w:hAnsi="Arial" w:cs="Arial"/>
          <w:b/>
          <w:bCs/>
          <w:sz w:val="32"/>
          <w:szCs w:val="32"/>
        </w:rPr>
        <w:t xml:space="preserve">ИЗДЕЛИЯ МЕДИЦИНСКИЕ ДЛЯ ДИАГНОСТИКИ </w:t>
      </w:r>
      <w:r w:rsidRPr="006B03C2">
        <w:rPr>
          <w:rFonts w:ascii="Arial" w:hAnsi="Arial" w:cs="Arial"/>
          <w:b/>
          <w:bCs/>
          <w:i/>
          <w:sz w:val="32"/>
          <w:szCs w:val="32"/>
          <w:lang w:val="en-US"/>
        </w:rPr>
        <w:t>IN</w:t>
      </w:r>
      <w:r w:rsidRPr="006B03C2">
        <w:rPr>
          <w:rFonts w:ascii="Arial" w:hAnsi="Arial" w:cs="Arial"/>
          <w:b/>
          <w:bCs/>
          <w:i/>
          <w:sz w:val="32"/>
          <w:szCs w:val="32"/>
        </w:rPr>
        <w:t xml:space="preserve"> </w:t>
      </w:r>
      <w:r w:rsidRPr="006B03C2">
        <w:rPr>
          <w:rFonts w:ascii="Arial" w:hAnsi="Arial" w:cs="Arial"/>
          <w:b/>
          <w:bCs/>
          <w:i/>
          <w:sz w:val="32"/>
          <w:szCs w:val="32"/>
          <w:lang w:val="en-US"/>
        </w:rPr>
        <w:t>VITRO</w:t>
      </w:r>
    </w:p>
    <w:p w14:paraId="501F8E65" w14:textId="77777777" w:rsidR="006B03C2" w:rsidRPr="006B03C2" w:rsidRDefault="006B03C2" w:rsidP="006B03C2">
      <w:pPr>
        <w:pStyle w:val="af1"/>
        <w:rPr>
          <w:rFonts w:ascii="Arial" w:hAnsi="Arial" w:cs="Arial"/>
          <w:b/>
          <w:bCs/>
          <w:sz w:val="32"/>
          <w:szCs w:val="32"/>
        </w:rPr>
      </w:pPr>
    </w:p>
    <w:p w14:paraId="65A68BEF" w14:textId="77777777" w:rsidR="006B03C2" w:rsidRPr="006B03C2" w:rsidRDefault="006B03C2" w:rsidP="006B03C2">
      <w:pPr>
        <w:pStyle w:val="af1"/>
        <w:jc w:val="center"/>
        <w:rPr>
          <w:rFonts w:ascii="Arial" w:hAnsi="Arial" w:cs="Arial"/>
          <w:b/>
          <w:bCs/>
          <w:sz w:val="32"/>
          <w:szCs w:val="32"/>
        </w:rPr>
      </w:pPr>
      <w:r w:rsidRPr="006B03C2">
        <w:rPr>
          <w:rFonts w:ascii="Arial" w:hAnsi="Arial" w:cs="Arial"/>
          <w:b/>
          <w:bCs/>
          <w:sz w:val="32"/>
          <w:szCs w:val="32"/>
        </w:rPr>
        <w:t>Информация, предоставляемая изготовителем с диагностическими реагентами</w:t>
      </w:r>
      <w:r w:rsidRPr="006B03C2">
        <w:rPr>
          <w:rFonts w:ascii="Arial" w:hAnsi="Arial" w:cs="Arial"/>
          <w:b/>
          <w:bCs/>
          <w:i/>
          <w:sz w:val="32"/>
          <w:szCs w:val="32"/>
        </w:rPr>
        <w:t xml:space="preserve"> </w:t>
      </w:r>
      <w:r w:rsidRPr="006B03C2">
        <w:rPr>
          <w:rFonts w:ascii="Arial" w:hAnsi="Arial" w:cs="Arial"/>
          <w:b/>
          <w:bCs/>
          <w:i/>
          <w:sz w:val="32"/>
          <w:szCs w:val="32"/>
          <w:lang w:val="en-US"/>
        </w:rPr>
        <w:t>IN</w:t>
      </w:r>
      <w:r w:rsidRPr="006B03C2">
        <w:rPr>
          <w:rFonts w:ascii="Arial" w:hAnsi="Arial" w:cs="Arial"/>
          <w:b/>
          <w:bCs/>
          <w:i/>
          <w:sz w:val="32"/>
          <w:szCs w:val="32"/>
        </w:rPr>
        <w:t xml:space="preserve"> </w:t>
      </w:r>
      <w:r w:rsidRPr="006B03C2">
        <w:rPr>
          <w:rFonts w:ascii="Arial" w:hAnsi="Arial" w:cs="Arial"/>
          <w:b/>
          <w:bCs/>
          <w:i/>
          <w:sz w:val="32"/>
          <w:szCs w:val="32"/>
          <w:lang w:val="en-US"/>
        </w:rPr>
        <w:t>VITRO</w:t>
      </w:r>
      <w:r w:rsidRPr="006B03C2">
        <w:rPr>
          <w:rFonts w:ascii="Arial" w:hAnsi="Arial" w:cs="Arial"/>
          <w:b/>
          <w:bCs/>
          <w:sz w:val="32"/>
          <w:szCs w:val="32"/>
        </w:rPr>
        <w:t>, применяемыми для окрашивания в биологии</w:t>
      </w:r>
    </w:p>
    <w:p w14:paraId="7F7F782B" w14:textId="77777777" w:rsidR="005773E9" w:rsidRPr="00A12990" w:rsidRDefault="005773E9">
      <w:pPr>
        <w:pStyle w:val="af1"/>
        <w:widowControl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5832021B" w14:textId="25C2ACA3" w:rsidR="005773E9" w:rsidRDefault="006F2309">
      <w:pPr>
        <w:keepNext/>
        <w:keepLines/>
        <w:widowControl w:val="0"/>
        <w:jc w:val="center"/>
        <w:rPr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(ISO </w:t>
      </w:r>
      <w:r w:rsidR="006B03C2">
        <w:rPr>
          <w:rFonts w:ascii="Arial" w:hAnsi="Arial" w:cs="Arial"/>
          <w:b/>
          <w:bCs/>
          <w:lang w:val="en-US"/>
        </w:rPr>
        <w:t>19001</w:t>
      </w:r>
      <w:r>
        <w:rPr>
          <w:rFonts w:ascii="Arial" w:hAnsi="Arial" w:cs="Arial"/>
          <w:b/>
          <w:bCs/>
          <w:lang w:val="en-US"/>
        </w:rPr>
        <w:t>:201</w:t>
      </w:r>
      <w:r w:rsidR="006B03C2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6B03C2" w:rsidRPr="006B03C2">
        <w:rPr>
          <w:rFonts w:ascii="Arial" w:hAnsi="Arial" w:cs="Arial"/>
          <w:b/>
          <w:bCs/>
          <w:i/>
          <w:iCs/>
          <w:lang w:val="en-US"/>
        </w:rPr>
        <w:t xml:space="preserve">In vitro diagnostic medical devices. Information supplied by the manufacturer with in vitro diagnostic reagents for staining in </w:t>
      </w:r>
      <w:proofErr w:type="gramStart"/>
      <w:r w:rsidR="006B03C2" w:rsidRPr="006B03C2">
        <w:rPr>
          <w:rFonts w:ascii="Arial" w:hAnsi="Arial" w:cs="Arial"/>
          <w:b/>
          <w:bCs/>
          <w:i/>
          <w:iCs/>
          <w:lang w:val="en-US"/>
        </w:rPr>
        <w:t xml:space="preserve">biology </w:t>
      </w:r>
      <w:r w:rsidR="00DA3975">
        <w:rPr>
          <w:rFonts w:ascii="Arial" w:hAnsi="Arial" w:cs="Arial"/>
          <w:b/>
          <w:bCs/>
          <w:i/>
          <w:iCs/>
          <w:lang w:val="en-US"/>
        </w:rPr>
        <w:t>,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IDT)</w:t>
      </w:r>
    </w:p>
    <w:p w14:paraId="1187A2A6" w14:textId="77777777" w:rsidR="005773E9" w:rsidRDefault="005773E9" w:rsidP="006F2309">
      <w:pPr>
        <w:pStyle w:val="FR1"/>
        <w:spacing w:line="360" w:lineRule="auto"/>
        <w:ind w:left="0" w:right="0" w:firstLine="0"/>
        <w:jc w:val="left"/>
        <w:rPr>
          <w:b/>
          <w:sz w:val="24"/>
          <w:szCs w:val="24"/>
          <w:lang w:val="en-US"/>
        </w:rPr>
      </w:pPr>
    </w:p>
    <w:p w14:paraId="1B776FCE" w14:textId="77777777" w:rsidR="005773E9" w:rsidRDefault="005773E9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14:paraId="5008FFD6" w14:textId="77777777" w:rsidR="00A12990" w:rsidRDefault="00A12990">
      <w:pPr>
        <w:pStyle w:val="FR1"/>
        <w:spacing w:line="360" w:lineRule="auto"/>
        <w:ind w:left="0" w:right="0" w:firstLine="0"/>
        <w:rPr>
          <w:b/>
          <w:sz w:val="24"/>
          <w:szCs w:val="24"/>
          <w:lang w:val="en-US"/>
        </w:rPr>
      </w:pPr>
    </w:p>
    <w:p w14:paraId="044B91F5" w14:textId="77777777" w:rsidR="005773E9" w:rsidRDefault="006F2309">
      <w:pPr>
        <w:pStyle w:val="FR1"/>
        <w:keepLines/>
        <w:spacing w:line="240" w:lineRule="auto"/>
        <w:ind w:left="0" w:right="0" w:firstLine="0"/>
        <w:rPr>
          <w:sz w:val="20"/>
        </w:rPr>
      </w:pPr>
      <w:r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14:paraId="622B15FB" w14:textId="77777777" w:rsidR="005773E9" w:rsidRDefault="005773E9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14:paraId="29F71DF2" w14:textId="77777777" w:rsidR="005773E9" w:rsidRDefault="005773E9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14:paraId="084485A3" w14:textId="77777777" w:rsidR="005773E9" w:rsidRDefault="005773E9" w:rsidP="006F2309">
      <w:pPr>
        <w:pStyle w:val="FR1"/>
        <w:keepLines/>
        <w:spacing w:line="240" w:lineRule="auto"/>
        <w:ind w:left="0" w:right="0" w:firstLine="0"/>
        <w:jc w:val="left"/>
        <w:rPr>
          <w:b/>
          <w:sz w:val="20"/>
        </w:rPr>
      </w:pPr>
    </w:p>
    <w:p w14:paraId="47C784F2" w14:textId="77777777" w:rsidR="005773E9" w:rsidRDefault="005773E9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14:paraId="4C4423BC" w14:textId="77777777" w:rsidR="005773E9" w:rsidRDefault="006F2309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Москва</w:t>
      </w:r>
    </w:p>
    <w:p w14:paraId="6D1BCBBF" w14:textId="77777777" w:rsidR="005773E9" w:rsidRDefault="006F2309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Стандартинформ</w:t>
      </w:r>
      <w:proofErr w:type="spellEnd"/>
    </w:p>
    <w:p w14:paraId="5E64402B" w14:textId="77777777" w:rsidR="005773E9" w:rsidRDefault="006F2309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>
        <w:rPr>
          <w:rFonts w:ascii="Arial" w:hAnsi="Arial" w:cs="Arial"/>
          <w:b/>
          <w:sz w:val="22"/>
          <w:szCs w:val="22"/>
        </w:rPr>
        <w:t>20ХХ</w:t>
      </w:r>
      <w:r>
        <w:br w:type="page"/>
      </w:r>
    </w:p>
    <w:p w14:paraId="31948176" w14:textId="1DBAABDD" w:rsidR="006B03C2" w:rsidRPr="006B03C2" w:rsidRDefault="006B03C2" w:rsidP="006B03C2">
      <w:pPr>
        <w:pStyle w:val="af4"/>
        <w:spacing w:after="240"/>
        <w:jc w:val="center"/>
        <w:rPr>
          <w:rFonts w:ascii="Arial" w:hAnsi="Arial" w:cs="Arial"/>
          <w:b/>
          <w:bCs/>
        </w:rPr>
      </w:pPr>
      <w:r w:rsidRPr="006B03C2">
        <w:rPr>
          <w:rFonts w:ascii="Arial" w:hAnsi="Arial" w:cs="Arial"/>
          <w:b/>
          <w:bCs/>
        </w:rPr>
        <w:lastRenderedPageBreak/>
        <w:t>Предисловие</w:t>
      </w:r>
    </w:p>
    <w:p w14:paraId="29376BC7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 xml:space="preserve">Цели и принципы стандартизации в Российской Федерации установлены </w:t>
      </w:r>
      <w:r w:rsidRPr="006B03C2">
        <w:rPr>
          <w:rFonts w:ascii="Arial" w:hAnsi="Arial" w:cs="Arial"/>
          <w:bCs/>
          <w:sz w:val="24"/>
          <w:szCs w:val="24"/>
        </w:rPr>
        <w:fldChar w:fldCharType="begin"/>
      </w:r>
      <w:r w:rsidRPr="006B03C2">
        <w:rPr>
          <w:rFonts w:ascii="Arial" w:hAnsi="Arial" w:cs="Arial"/>
          <w:bCs/>
          <w:sz w:val="24"/>
          <w:szCs w:val="24"/>
        </w:rPr>
        <w:instrText xml:space="preserve"> HYPERLINK "kodeks://link/d?nd=901836556&amp;point=mark=0000000000000000000000000000000000000000000000000064U0IK"\o"’’О техническом регулировании (с изменениями на 28 ноября 2018 года)’’</w:instrText>
      </w:r>
    </w:p>
    <w:p w14:paraId="4E2E77F3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instrText>Федеральный закон от 27.12.2002 N 184-ФЗ</w:instrText>
      </w:r>
    </w:p>
    <w:p w14:paraId="67BC8A21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instrText>Статус: действующая редакция (действ. с 29.11.2019)"</w:instrText>
      </w:r>
      <w:r w:rsidRPr="006B03C2">
        <w:rPr>
          <w:rFonts w:ascii="Arial" w:hAnsi="Arial" w:cs="Arial"/>
          <w:bCs/>
          <w:sz w:val="24"/>
          <w:szCs w:val="24"/>
        </w:rPr>
        <w:fldChar w:fldCharType="separate"/>
      </w:r>
      <w:r w:rsidRPr="006B03C2">
        <w:rPr>
          <w:rStyle w:val="afa"/>
          <w:rFonts w:ascii="Arial" w:hAnsi="Arial" w:cs="Arial"/>
          <w:bCs/>
          <w:sz w:val="24"/>
          <w:szCs w:val="24"/>
        </w:rPr>
        <w:t xml:space="preserve">Федеральным законом от 27 декабря 2002 г. N 184-ФЗ "О техническом регулировании" </w:t>
      </w:r>
      <w:r w:rsidRPr="006B03C2">
        <w:rPr>
          <w:rFonts w:ascii="Arial" w:hAnsi="Arial" w:cs="Arial"/>
          <w:bCs/>
          <w:sz w:val="24"/>
          <w:szCs w:val="24"/>
        </w:rPr>
        <w:fldChar w:fldCharType="end"/>
      </w:r>
      <w:r w:rsidRPr="006B03C2">
        <w:rPr>
          <w:rFonts w:ascii="Arial" w:hAnsi="Arial" w:cs="Arial"/>
          <w:bCs/>
          <w:sz w:val="24"/>
          <w:szCs w:val="24"/>
        </w:rPr>
        <w:t xml:space="preserve">, а правила применения национальных стандартов Российской Федерации - </w:t>
      </w:r>
      <w:r w:rsidRPr="006B03C2">
        <w:rPr>
          <w:rFonts w:ascii="Arial" w:hAnsi="Arial" w:cs="Arial"/>
          <w:bCs/>
          <w:sz w:val="24"/>
          <w:szCs w:val="24"/>
        </w:rPr>
        <w:fldChar w:fldCharType="begin"/>
      </w:r>
      <w:r w:rsidRPr="006B03C2">
        <w:rPr>
          <w:rFonts w:ascii="Arial" w:hAnsi="Arial" w:cs="Arial"/>
          <w:bCs/>
          <w:sz w:val="24"/>
          <w:szCs w:val="24"/>
        </w:rPr>
        <w:instrText xml:space="preserve"> HYPERLINK "kodeks://link/d?nd=1200038794&amp;point=mark=000000000000000000000000000000000000000000000000007D20K3"\o"’’ГОСТ Р 1.0-2004 Стандартизация в Российской Федерации. Основные положения’’</w:instrText>
      </w:r>
    </w:p>
    <w:p w14:paraId="470C008F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instrText>(утв. приказом Росстандарта от 30.12.2004 N 152-ст)</w:instrText>
      </w:r>
    </w:p>
    <w:p w14:paraId="327E4F5B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instrText>Заменен с 01.07.2013 на ГОСТ Р 1.0-2012</w:instrText>
      </w:r>
    </w:p>
    <w:p w14:paraId="32B734FE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instrText>Статус: недействующий  (действ. с 01.07.2005 по 30.06.2013)"</w:instrText>
      </w:r>
      <w:r w:rsidRPr="006B03C2">
        <w:rPr>
          <w:rFonts w:ascii="Arial" w:hAnsi="Arial" w:cs="Arial"/>
          <w:bCs/>
          <w:sz w:val="24"/>
          <w:szCs w:val="24"/>
        </w:rPr>
        <w:fldChar w:fldCharType="separate"/>
      </w:r>
      <w:r w:rsidRPr="006B03C2">
        <w:rPr>
          <w:rStyle w:val="afa"/>
          <w:rFonts w:ascii="Arial" w:hAnsi="Arial" w:cs="Arial"/>
          <w:bCs/>
          <w:sz w:val="24"/>
          <w:szCs w:val="24"/>
        </w:rPr>
        <w:t xml:space="preserve">ГОСТ Р 1.0-2004 </w:t>
      </w:r>
      <w:r w:rsidRPr="006B03C2">
        <w:rPr>
          <w:rFonts w:ascii="Arial" w:hAnsi="Arial" w:cs="Arial"/>
          <w:bCs/>
          <w:sz w:val="24"/>
          <w:szCs w:val="24"/>
        </w:rPr>
        <w:fldChar w:fldCharType="end"/>
      </w:r>
      <w:r w:rsidRPr="006B03C2">
        <w:rPr>
          <w:rFonts w:ascii="Arial" w:hAnsi="Arial" w:cs="Arial"/>
          <w:bCs/>
          <w:sz w:val="24"/>
          <w:szCs w:val="24"/>
        </w:rPr>
        <w:t xml:space="preserve"> "Стандартизация в Российской Федерации. Основные положения" </w:t>
      </w:r>
    </w:p>
    <w:p w14:paraId="3978D36F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/>
          <w:bCs/>
          <w:sz w:val="24"/>
          <w:szCs w:val="24"/>
        </w:rPr>
      </w:pPr>
    </w:p>
    <w:p w14:paraId="6B541706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>ИСО (Международная организация по стандартизации) - это Всемирная федерация национальных органов по стандартизации (органов-членов ИСО). Работа по подготовке международных стандартов обычно осуществляется через технические комитеты ИСО. Каждый орган-член, заинтересованный в том или ином вопросе, по которому был учрежден технический комитет, имеет право быть представленным в этом комитете. В этой работе также принимают участие международные организации, правительственные и неправительственные организации, поддерживающие связь с ИСО. ИСО тесно сотрудничает с Международной электротехнической комиссией (МЭК) по всем вопросам электротехнической стандартизации.</w:t>
      </w:r>
    </w:p>
    <w:p w14:paraId="140428E2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>Международные стандарты разрабатываются в соответствии с правилами, приведенными в Директивах ISO / IEC, Часть 2</w:t>
      </w:r>
    </w:p>
    <w:p w14:paraId="7EA1288F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>Основной задачей технических комитетов является подготовка международных стандартов. Проекты международных стандартов, принятые техническими комитетами, рассылаются органам-членам на голосование. Публикация в качестве международного стандарта требует одобрения, по крайней мере, 75% организаций-членов, принимающих участие в голосовании.</w:t>
      </w:r>
    </w:p>
    <w:p w14:paraId="079DFA93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>Следует обратить внимание на возможность того, что некоторые элементы этого документа могут быть предметом патентных прав. ISO не несет ответственности за идентификацию какого-либо или всех таких патентных прав.</w:t>
      </w:r>
    </w:p>
    <w:p w14:paraId="52A2A05C" w14:textId="77777777" w:rsidR="006B03C2" w:rsidRP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 xml:space="preserve">ISO 19001 был подготовлен Техническим комитетом ISO / TC 212, </w:t>
      </w:r>
      <w:r w:rsidRPr="006B03C2">
        <w:rPr>
          <w:rFonts w:ascii="Arial" w:hAnsi="Arial" w:cs="Arial"/>
          <w:bCs/>
          <w:i/>
          <w:sz w:val="24"/>
          <w:szCs w:val="24"/>
        </w:rPr>
        <w:t xml:space="preserve">Клинические лабораторные испытания и системы диагностики </w:t>
      </w:r>
      <w:proofErr w:type="spellStart"/>
      <w:r w:rsidRPr="006B03C2">
        <w:rPr>
          <w:rFonts w:ascii="Arial" w:hAnsi="Arial" w:cs="Arial"/>
          <w:bCs/>
          <w:i/>
          <w:sz w:val="24"/>
          <w:szCs w:val="24"/>
        </w:rPr>
        <w:t>in</w:t>
      </w:r>
      <w:proofErr w:type="spellEnd"/>
      <w:r w:rsidRPr="006B03C2">
        <w:rPr>
          <w:rFonts w:ascii="Arial" w:hAnsi="Arial" w:cs="Arial"/>
          <w:bCs/>
          <w:i/>
          <w:sz w:val="24"/>
          <w:szCs w:val="24"/>
        </w:rPr>
        <w:t xml:space="preserve"> </w:t>
      </w:r>
      <w:proofErr w:type="spellStart"/>
      <w:r w:rsidRPr="006B03C2">
        <w:rPr>
          <w:rFonts w:ascii="Arial" w:hAnsi="Arial" w:cs="Arial"/>
          <w:bCs/>
          <w:i/>
          <w:sz w:val="24"/>
          <w:szCs w:val="24"/>
        </w:rPr>
        <w:t>vitro</w:t>
      </w:r>
      <w:proofErr w:type="spellEnd"/>
      <w:r w:rsidRPr="006B03C2">
        <w:rPr>
          <w:rFonts w:ascii="Arial" w:hAnsi="Arial" w:cs="Arial"/>
          <w:bCs/>
          <w:sz w:val="24"/>
          <w:szCs w:val="24"/>
        </w:rPr>
        <w:t>.</w:t>
      </w:r>
    </w:p>
    <w:p w14:paraId="5B8E6EA4" w14:textId="6023784C" w:rsidR="006B03C2" w:rsidRDefault="006B03C2" w:rsidP="006B03C2">
      <w:pPr>
        <w:pStyle w:val="af4"/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6B03C2">
        <w:rPr>
          <w:rFonts w:ascii="Arial" w:hAnsi="Arial" w:cs="Arial"/>
          <w:bCs/>
          <w:sz w:val="24"/>
          <w:szCs w:val="24"/>
        </w:rPr>
        <w:t>Настоящее второе издание отменяет и заменяет первое издание (ISO 19001: 2002), которое было технически пересмотрено</w:t>
      </w:r>
    </w:p>
    <w:p w14:paraId="4BCAEB07" w14:textId="42A74934" w:rsidR="006B03C2" w:rsidRDefault="006B03C2" w:rsidP="006B03C2">
      <w:pPr>
        <w:pStyle w:val="a4"/>
        <w:rPr>
          <w:lang w:eastAsia="ru-RU"/>
        </w:rPr>
      </w:pPr>
    </w:p>
    <w:p w14:paraId="26B02BAE" w14:textId="77777777" w:rsidR="006B03C2" w:rsidRPr="006B03C2" w:rsidRDefault="006B03C2" w:rsidP="006B03C2">
      <w:pPr>
        <w:pStyle w:val="a4"/>
        <w:rPr>
          <w:lang w:eastAsia="ru-RU"/>
        </w:rPr>
      </w:pPr>
    </w:p>
    <w:p w14:paraId="46FE8D1C" w14:textId="1B9FC67D" w:rsidR="005773E9" w:rsidRPr="006B03C2" w:rsidRDefault="006B03C2">
      <w:pPr>
        <w:pStyle w:val="af4"/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Сведения о стандарте</w:t>
      </w:r>
    </w:p>
    <w:p w14:paraId="2E783CB2" w14:textId="1C27096E" w:rsidR="005773E9" w:rsidRDefault="006F2309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ПОДГОТОВЛЕН Ассоциаци</w:t>
      </w:r>
      <w:r w:rsidR="00443171">
        <w:rPr>
          <w:rFonts w:ascii="Arial" w:eastAsia="Calibri" w:hAnsi="Arial" w:cs="Arial"/>
          <w:sz w:val="22"/>
          <w:szCs w:val="22"/>
          <w:lang w:eastAsia="en-US"/>
        </w:rPr>
        <w:t>ей</w:t>
      </w:r>
      <w:r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специалистов и организаций лабораторной службы «Федерация лабораторной медицины» (Ассоциация «ФЛМ»),</w:t>
      </w:r>
      <w:r>
        <w:rPr>
          <w:i/>
          <w:iCs/>
        </w:rPr>
        <w:t xml:space="preserve"> </w:t>
      </w:r>
      <w:r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Х</w:t>
      </w:r>
    </w:p>
    <w:p w14:paraId="55BD441E" w14:textId="77777777" w:rsidR="005773E9" w:rsidRDefault="006F2309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</w:pPr>
      <w:r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по стандартизации ТК 380 «Клинические лабораторные исследования и диагностические тест-системы ин </w:t>
      </w:r>
      <w:proofErr w:type="spellStart"/>
      <w:r>
        <w:rPr>
          <w:rFonts w:ascii="Arial" w:eastAsia="Calibri" w:hAnsi="Arial" w:cs="Arial"/>
          <w:sz w:val="22"/>
          <w:szCs w:val="22"/>
          <w:lang w:eastAsia="en-US"/>
        </w:rPr>
        <w:t>витро</w:t>
      </w:r>
      <w:proofErr w:type="spellEnd"/>
      <w:r>
        <w:rPr>
          <w:rFonts w:ascii="Arial" w:eastAsia="Calibri" w:hAnsi="Arial" w:cs="Arial"/>
          <w:sz w:val="22"/>
          <w:szCs w:val="22"/>
          <w:lang w:eastAsia="en-US"/>
        </w:rPr>
        <w:t>»</w:t>
      </w:r>
    </w:p>
    <w:p w14:paraId="58EB095D" w14:textId="77777777" w:rsidR="005773E9" w:rsidRDefault="006F2309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И ВВЕДЕН В ДЕЙСТВИЕ Приказом Федерального агентства по техническому регулированию и метрологии от 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proofErr w:type="gramEnd"/>
      <w:r>
        <w:rPr>
          <w:rFonts w:ascii="Arial" w:eastAsia="Calibri" w:hAnsi="Arial" w:cs="Arial"/>
          <w:sz w:val="22"/>
          <w:szCs w:val="22"/>
          <w:lang w:eastAsia="en-US"/>
        </w:rPr>
        <w:t xml:space="preserve">    </w:t>
      </w:r>
      <w:r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4BD32627" w14:textId="7AD345EF" w:rsidR="005773E9" w:rsidRPr="003765F2" w:rsidRDefault="006F2309" w:rsidP="003765F2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3765F2">
        <w:rPr>
          <w:rFonts w:ascii="Arial" w:eastAsia="Calibri" w:hAnsi="Arial" w:cs="Arial"/>
          <w:sz w:val="22"/>
          <w:szCs w:val="22"/>
          <w:lang w:eastAsia="en-US"/>
        </w:rPr>
        <w:t xml:space="preserve">Настоящий стандарт идентичен международному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 xml:space="preserve">ИСО 19001:2013* "Изделия медицинские для диагностики </w:t>
      </w:r>
      <w:proofErr w:type="spellStart"/>
      <w:r w:rsidR="006B03C2" w:rsidRPr="006B03C2">
        <w:rPr>
          <w:rFonts w:ascii="Arial" w:eastAsia="Calibri" w:hAnsi="Arial" w:cs="Arial"/>
          <w:i/>
          <w:iCs/>
          <w:sz w:val="22"/>
          <w:szCs w:val="22"/>
          <w:lang w:eastAsia="en-US"/>
        </w:rPr>
        <w:t>in</w:t>
      </w:r>
      <w:proofErr w:type="spellEnd"/>
      <w:r w:rsidR="006B03C2" w:rsidRPr="006B03C2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="006B03C2" w:rsidRPr="006B03C2">
        <w:rPr>
          <w:rFonts w:ascii="Arial" w:eastAsia="Calibri" w:hAnsi="Arial" w:cs="Arial"/>
          <w:i/>
          <w:iCs/>
          <w:sz w:val="22"/>
          <w:szCs w:val="22"/>
          <w:lang w:eastAsia="en-US"/>
        </w:rPr>
        <w:t>vitro</w:t>
      </w:r>
      <w:proofErr w:type="spellEnd"/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. Информация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,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предоставляемая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изготовителем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с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диагностическими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реагентами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i/>
          <w:iCs/>
          <w:sz w:val="22"/>
          <w:szCs w:val="22"/>
          <w:lang w:val="en-US" w:eastAsia="en-US"/>
        </w:rPr>
        <w:t>in vitro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для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окрашивания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в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="006B03C2" w:rsidRPr="006B03C2">
        <w:rPr>
          <w:rFonts w:ascii="Arial" w:eastAsia="Calibri" w:hAnsi="Arial" w:cs="Arial"/>
          <w:sz w:val="22"/>
          <w:szCs w:val="22"/>
          <w:lang w:eastAsia="en-US"/>
        </w:rPr>
        <w:t>биологии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>" (ISO 19001:2013 "</w:t>
      </w:r>
      <w:r w:rsidR="006B03C2" w:rsidRPr="006B03C2">
        <w:rPr>
          <w:rFonts w:ascii="Arial" w:eastAsia="Calibri" w:hAnsi="Arial" w:cs="Arial"/>
          <w:i/>
          <w:iCs/>
          <w:sz w:val="22"/>
          <w:szCs w:val="22"/>
          <w:lang w:val="en-US" w:eastAsia="en-US"/>
        </w:rPr>
        <w:t>In vitro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diagnostic medical devices - Information supplied by the manufacturer with </w:t>
      </w:r>
      <w:r w:rsidR="006B03C2" w:rsidRPr="006B03C2">
        <w:rPr>
          <w:rFonts w:ascii="Arial" w:eastAsia="Calibri" w:hAnsi="Arial" w:cs="Arial"/>
          <w:i/>
          <w:iCs/>
          <w:sz w:val="22"/>
          <w:szCs w:val="22"/>
          <w:lang w:val="en-US" w:eastAsia="en-US"/>
        </w:rPr>
        <w:t>in vitro</w:t>
      </w:r>
      <w:r w:rsidR="006B03C2" w:rsidRPr="006B03C2">
        <w:rPr>
          <w:rFonts w:ascii="Arial" w:eastAsia="Calibri" w:hAnsi="Arial" w:cs="Arial"/>
          <w:sz w:val="22"/>
          <w:szCs w:val="22"/>
          <w:lang w:val="en-US" w:eastAsia="en-US"/>
        </w:rPr>
        <w:t xml:space="preserve"> diagnostic reagents for staining in biology").</w:t>
      </w:r>
    </w:p>
    <w:p w14:paraId="19380A94" w14:textId="77777777" w:rsidR="006B03C2" w:rsidRPr="006B03C2" w:rsidRDefault="006B03C2" w:rsidP="006B03C2">
      <w:pPr>
        <w:widowControl w:val="0"/>
        <w:tabs>
          <w:tab w:val="left" w:pos="360"/>
          <w:tab w:val="left" w:pos="928"/>
        </w:tabs>
        <w:spacing w:line="312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________________ </w:t>
      </w:r>
    </w:p>
    <w:p w14:paraId="15FA815F" w14:textId="77777777" w:rsidR="006B03C2" w:rsidRPr="006B03C2" w:rsidRDefault="006B03C2" w:rsidP="006B03C2">
      <w:pPr>
        <w:widowControl w:val="0"/>
        <w:tabs>
          <w:tab w:val="left" w:pos="360"/>
          <w:tab w:val="left" w:pos="928"/>
        </w:tabs>
        <w:spacing w:line="312" w:lineRule="auto"/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B03C2">
        <w:rPr>
          <w:rFonts w:ascii="Arial" w:eastAsia="Calibri" w:hAnsi="Arial" w:cs="Arial"/>
          <w:sz w:val="20"/>
          <w:szCs w:val="20"/>
          <w:lang w:eastAsia="en-US"/>
        </w:rPr>
        <w:t xml:space="preserve">* Доступ к международным и зарубежным документам, упомянутым в тексте, можно получить, обратившись в Службу поддержки </w:t>
      </w:r>
      <w:proofErr w:type="gramStart"/>
      <w:r w:rsidRPr="006B03C2">
        <w:rPr>
          <w:rFonts w:ascii="Arial" w:eastAsia="Calibri" w:hAnsi="Arial" w:cs="Arial"/>
          <w:sz w:val="20"/>
          <w:szCs w:val="20"/>
          <w:lang w:eastAsia="en-US"/>
        </w:rPr>
        <w:t>пользователей .</w:t>
      </w:r>
      <w:proofErr w:type="gramEnd"/>
      <w:r w:rsidRPr="006B03C2">
        <w:rPr>
          <w:rFonts w:ascii="Arial" w:eastAsia="Calibri" w:hAnsi="Arial" w:cs="Arial"/>
          <w:sz w:val="20"/>
          <w:szCs w:val="20"/>
          <w:lang w:eastAsia="en-US"/>
        </w:rPr>
        <w:t xml:space="preserve"> - Примечание изготовителя базы данных.</w:t>
      </w:r>
    </w:p>
    <w:p w14:paraId="3C4066BE" w14:textId="77777777" w:rsidR="006B03C2" w:rsidRPr="006B03C2" w:rsidRDefault="006B03C2" w:rsidP="006B03C2">
      <w:pPr>
        <w:widowControl w:val="0"/>
        <w:tabs>
          <w:tab w:val="left" w:pos="360"/>
          <w:tab w:val="left" w:pos="928"/>
        </w:tabs>
        <w:spacing w:line="312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Наименование настоящего стандарта изменено относительно наименования указанного международного стандарта для приведения в соответствие с ГОСТ Р </w:t>
      </w:r>
      <w:proofErr w:type="gramStart"/>
      <w:r w:rsidRPr="006B03C2">
        <w:rPr>
          <w:rFonts w:ascii="Arial" w:eastAsia="Calibri" w:hAnsi="Arial" w:cs="Arial"/>
          <w:sz w:val="22"/>
          <w:szCs w:val="22"/>
          <w:lang w:eastAsia="en-US"/>
        </w:rPr>
        <w:t>1.5  (</w:t>
      </w:r>
      <w:proofErr w:type="gramEnd"/>
      <w:r w:rsidRPr="006B03C2">
        <w:rPr>
          <w:rFonts w:ascii="Arial" w:eastAsia="Calibri" w:hAnsi="Arial" w:cs="Arial"/>
          <w:sz w:val="22"/>
          <w:szCs w:val="22"/>
          <w:lang w:eastAsia="en-US"/>
        </w:rPr>
        <w:t>подраздел 3.5).</w:t>
      </w:r>
    </w:p>
    <w:p w14:paraId="0ED074BF" w14:textId="77777777" w:rsidR="006B03C2" w:rsidRPr="006B03C2" w:rsidRDefault="006B03C2" w:rsidP="006B03C2">
      <w:pPr>
        <w:widowControl w:val="0"/>
        <w:tabs>
          <w:tab w:val="left" w:pos="360"/>
          <w:tab w:val="left" w:pos="928"/>
        </w:tabs>
        <w:spacing w:line="312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Российской Федерации, сведения о которых приведены в дополнительном приложении ДА </w:t>
      </w:r>
    </w:p>
    <w:p w14:paraId="7C150A2A" w14:textId="659B8DE7" w:rsidR="005773E9" w:rsidRDefault="006B03C2" w:rsidP="006B03C2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 Взамен ГОСТ Р ИСО 19001-2013 Изделия медицинские для диагностики </w:t>
      </w:r>
      <w:proofErr w:type="spellStart"/>
      <w:r w:rsidRPr="006B03C2">
        <w:rPr>
          <w:rFonts w:ascii="Arial" w:eastAsia="Calibri" w:hAnsi="Arial" w:cs="Arial"/>
          <w:sz w:val="22"/>
          <w:szCs w:val="22"/>
          <w:lang w:eastAsia="en-US"/>
        </w:rPr>
        <w:t>in</w:t>
      </w:r>
      <w:proofErr w:type="spellEnd"/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6B03C2">
        <w:rPr>
          <w:rFonts w:ascii="Arial" w:eastAsia="Calibri" w:hAnsi="Arial" w:cs="Arial"/>
          <w:sz w:val="22"/>
          <w:szCs w:val="22"/>
          <w:lang w:eastAsia="en-US"/>
        </w:rPr>
        <w:t>vitro</w:t>
      </w:r>
      <w:proofErr w:type="spellEnd"/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. Информация, предоставляемая изготовителем с диагностическими реагентами </w:t>
      </w:r>
      <w:proofErr w:type="spellStart"/>
      <w:r w:rsidRPr="006B03C2">
        <w:rPr>
          <w:rFonts w:ascii="Arial" w:eastAsia="Calibri" w:hAnsi="Arial" w:cs="Arial"/>
          <w:sz w:val="22"/>
          <w:szCs w:val="22"/>
          <w:lang w:eastAsia="en-US"/>
        </w:rPr>
        <w:t>in</w:t>
      </w:r>
      <w:proofErr w:type="spellEnd"/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6B03C2">
        <w:rPr>
          <w:rFonts w:ascii="Arial" w:eastAsia="Calibri" w:hAnsi="Arial" w:cs="Arial"/>
          <w:sz w:val="22"/>
          <w:szCs w:val="22"/>
          <w:lang w:eastAsia="en-US"/>
        </w:rPr>
        <w:t>vitro</w:t>
      </w:r>
      <w:proofErr w:type="spellEnd"/>
      <w:r w:rsidRPr="006B03C2">
        <w:rPr>
          <w:rFonts w:ascii="Arial" w:eastAsia="Calibri" w:hAnsi="Arial" w:cs="Arial"/>
          <w:sz w:val="22"/>
          <w:szCs w:val="22"/>
          <w:lang w:eastAsia="en-US"/>
        </w:rPr>
        <w:t xml:space="preserve">, применяемыми для окрашивания в биологии </w:t>
      </w:r>
      <w:proofErr w:type="spellStart"/>
      <w:r w:rsidRPr="006B03C2">
        <w:rPr>
          <w:rFonts w:ascii="Arial" w:hAnsi="Arial" w:cs="Arial"/>
          <w:sz w:val="22"/>
          <w:szCs w:val="22"/>
        </w:rPr>
        <w:t>биологии</w:t>
      </w:r>
      <w:proofErr w:type="spellEnd"/>
      <w:r>
        <w:rPr>
          <w:rFonts w:ascii="Arial" w:hAnsi="Arial" w:cs="Arial"/>
          <w:caps/>
          <w:sz w:val="22"/>
          <w:szCs w:val="22"/>
        </w:rPr>
        <w:t xml:space="preserve"> </w:t>
      </w:r>
    </w:p>
    <w:p w14:paraId="4E33E478" w14:textId="77777777" w:rsidR="005773E9" w:rsidRDefault="005773E9" w:rsidP="000323CE">
      <w:pPr>
        <w:widowControl w:val="0"/>
        <w:tabs>
          <w:tab w:val="left" w:pos="360"/>
        </w:tabs>
        <w:spacing w:after="200" w:line="312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7D0A922" w14:textId="77777777" w:rsidR="005773E9" w:rsidRDefault="006F2309">
      <w:pPr>
        <w:tabs>
          <w:tab w:val="left" w:pos="360"/>
        </w:tabs>
        <w:spacing w:after="200" w:line="300" w:lineRule="exact"/>
        <w:ind w:firstLine="567"/>
        <w:jc w:val="both"/>
      </w:pPr>
      <w:r>
        <w:rPr>
          <w:rFonts w:ascii="Arial" w:hAnsi="Arial" w:cs="Arial"/>
          <w:i/>
          <w:sz w:val="22"/>
          <w:szCs w:val="22"/>
        </w:rPr>
        <w:t xml:space="preserve"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</w:t>
      </w:r>
      <w:proofErr w:type="gramStart"/>
      <w:r>
        <w:rPr>
          <w:rFonts w:ascii="Arial" w:hAnsi="Arial" w:cs="Arial"/>
          <w:i/>
          <w:sz w:val="22"/>
          <w:szCs w:val="22"/>
        </w:rPr>
        <w:t xml:space="preserve">стандарту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публикуется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</w:t>
      </w:r>
      <w:r>
        <w:rPr>
          <w:rFonts w:ascii="Arial" w:hAnsi="Arial" w:cs="Arial"/>
          <w:i/>
          <w:sz w:val="22"/>
          <w:szCs w:val="22"/>
        </w:rPr>
        <w:lastRenderedPageBreak/>
        <w:t>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0">
        <w:r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>
        <w:rPr>
          <w:rFonts w:ascii="Arial" w:hAnsi="Arial" w:cs="Arial"/>
          <w:i/>
          <w:sz w:val="22"/>
          <w:szCs w:val="22"/>
        </w:rPr>
        <w:t>)</w:t>
      </w:r>
    </w:p>
    <w:p w14:paraId="5AF55983" w14:textId="77777777" w:rsidR="005773E9" w:rsidRDefault="005773E9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14:paraId="1177E077" w14:textId="77777777" w:rsidR="005773E9" w:rsidRDefault="006F2309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>
        <w:br w:type="page"/>
      </w:r>
    </w:p>
    <w:p w14:paraId="6EDCBAC4" w14:textId="414DBA29" w:rsidR="006B03C2" w:rsidRPr="00DA3975" w:rsidRDefault="006B03C2" w:rsidP="006B03C2">
      <w:pPr>
        <w:suppressAutoHyphens w:val="0"/>
        <w:jc w:val="both"/>
        <w:rPr>
          <w:rFonts w:ascii="Arial" w:hAnsi="Arial" w:cs="Arial"/>
          <w:color w:val="000000" w:themeColor="text1"/>
        </w:rPr>
      </w:pPr>
    </w:p>
    <w:p w14:paraId="2CCDD7F8" w14:textId="77777777" w:rsidR="005773E9" w:rsidRDefault="006F2309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bookmarkStart w:id="0" w:name="_Toc40906254"/>
      <w:r>
        <w:rPr>
          <w:rFonts w:ascii="Arial" w:hAnsi="Arial" w:cs="Arial"/>
          <w:color w:val="auto"/>
        </w:rPr>
        <w:t>Введение</w:t>
      </w:r>
      <w:bookmarkEnd w:id="0"/>
    </w:p>
    <w:p w14:paraId="6FE301C8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  <w:r w:rsidRPr="00DA3975">
        <w:rPr>
          <w:rFonts w:ascii="Arial" w:hAnsi="Arial" w:cs="Arial"/>
        </w:rPr>
        <w:t>Медицинские лабораторные услуги имеют важное значение для наблюдения за пациентами и общественным здоровьем, и, следовательно, должны быть доступны для удовлетворения потребностей всех пациентов и медицинского персонала, ответственных за заботу о пациентах. Такие услуги должны быть выполнены в соответствии с документированными политикой и процедурами запроса экспертизы, подготовки пациента, идентификации пациента, сбора образцов, транспортировки проб, образцов для хранения, обработки, экспертизы образцов и результаты отчетности, в дополнение к соображениям безопасности и этики в медицинской лабораторной работе.</w:t>
      </w:r>
    </w:p>
    <w:p w14:paraId="72C85ACD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  <w:r w:rsidRPr="00DA3975">
        <w:rPr>
          <w:rFonts w:ascii="Arial" w:hAnsi="Arial" w:cs="Arial"/>
        </w:rPr>
        <w:t>Этот документ содержит указание из ряда источников, которые включены в набор надлежащей лабораторной практики, охватывающих процессы предварительной экспертизы, таким образом, что соответствует опубликованным требованиям для образца сбора и обработки. Этот документ предназначен для использования отдельных лиц и организациями, осуществляющих сбор образцов для представления медицинских лабораторий для исследования, с целью обеспечения качества лабораторных услуг и для достижения лучших результатов для здоровья населения.</w:t>
      </w:r>
    </w:p>
    <w:p w14:paraId="0B506223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</w:p>
    <w:p w14:paraId="25D18F57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  <w:r w:rsidRPr="00DA3975">
        <w:rPr>
          <w:rFonts w:ascii="Arial" w:hAnsi="Arial" w:cs="Arial"/>
        </w:rPr>
        <w:t>Следует признать, что страна может иметь свои собственные специфические рекомендации или требования, предъявляемые к профессиональному персоналу, их деятельности и их обязанности в этой области.</w:t>
      </w:r>
    </w:p>
    <w:p w14:paraId="7374C00A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</w:p>
    <w:p w14:paraId="60F82BC1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  <w:r w:rsidRPr="00DA3975">
        <w:rPr>
          <w:rFonts w:ascii="Arial" w:hAnsi="Arial" w:cs="Arial"/>
        </w:rPr>
        <w:t xml:space="preserve">Каждая лаборатория или образец организация сбор должна определить свой уровень приверженности к надлежащей лабораторной практике, описанной в данном документе. Руководству следует сделать первый шаг, установив соответствующие приоритеты, основанные </w:t>
      </w:r>
      <w:proofErr w:type="gramStart"/>
      <w:r w:rsidRPr="00DA3975">
        <w:rPr>
          <w:rFonts w:ascii="Arial" w:hAnsi="Arial" w:cs="Arial"/>
        </w:rPr>
        <w:t>на пациент</w:t>
      </w:r>
      <w:proofErr w:type="gramEnd"/>
      <w:r w:rsidRPr="00DA3975">
        <w:rPr>
          <w:rFonts w:ascii="Arial" w:hAnsi="Arial" w:cs="Arial"/>
        </w:rPr>
        <w:t xml:space="preserve"> и потребностях клиентов, имеющиеся ресурсы, а также местные, региональные и национальные мандаты.</w:t>
      </w:r>
    </w:p>
    <w:p w14:paraId="2BB36926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</w:p>
    <w:p w14:paraId="1CD5AF13" w14:textId="77777777" w:rsidR="00DA3975" w:rsidRPr="00DA3975" w:rsidRDefault="00DA3975" w:rsidP="00DA3975">
      <w:pPr>
        <w:suppressAutoHyphens w:val="0"/>
        <w:spacing w:after="120" w:line="360" w:lineRule="auto"/>
        <w:jc w:val="both"/>
        <w:rPr>
          <w:rFonts w:ascii="Arial" w:hAnsi="Arial" w:cs="Arial"/>
          <w:bCs/>
        </w:rPr>
      </w:pPr>
      <w:r w:rsidRPr="00DA3975">
        <w:rPr>
          <w:rFonts w:ascii="Arial" w:hAnsi="Arial" w:cs="Arial"/>
        </w:rPr>
        <w:lastRenderedPageBreak/>
        <w:t>Этот документ был разработан на основе канадского стандарта CSA Z316.7-12.</w:t>
      </w:r>
    </w:p>
    <w:p w14:paraId="4CAA1E54" w14:textId="77777777" w:rsidR="005773E9" w:rsidRDefault="005773E9">
      <w:pPr>
        <w:suppressAutoHyphens w:val="0"/>
        <w:spacing w:before="120" w:after="120" w:line="360" w:lineRule="auto"/>
        <w:jc w:val="both"/>
        <w:rPr>
          <w:rFonts w:ascii="Arial" w:hAnsi="Arial" w:cs="Arial"/>
          <w:b/>
          <w:caps/>
          <w:spacing w:val="70"/>
          <w:szCs w:val="20"/>
          <w:lang w:eastAsia="ja-JP"/>
        </w:rPr>
        <w:sectPr w:rsidR="005773E9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680" w:right="851" w:bottom="249" w:left="1701" w:header="0" w:footer="402" w:gutter="0"/>
          <w:pgNumType w:fmt="upperRoman"/>
          <w:cols w:space="720"/>
          <w:formProt w:val="0"/>
          <w:titlePg/>
          <w:docGrid w:linePitch="326" w:charSpace="-6145"/>
        </w:sectPr>
      </w:pPr>
    </w:p>
    <w:p w14:paraId="355A5FB9" w14:textId="77777777" w:rsidR="005773E9" w:rsidRDefault="005773E9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14:paraId="67170290" w14:textId="77777777" w:rsidR="005773E9" w:rsidRDefault="006F2309">
      <w:pPr>
        <w:pStyle w:val="a4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4"/>
        </w:rPr>
      </w:pPr>
      <w:r>
        <w:rPr>
          <w:rFonts w:cs="Arial"/>
          <w:caps/>
          <w:spacing w:val="70"/>
          <w:sz w:val="24"/>
        </w:rPr>
        <w:t>национальный стандарт Российской федерации</w:t>
      </w:r>
    </w:p>
    <w:p w14:paraId="78CA3DA7" w14:textId="77777777" w:rsidR="005773E9" w:rsidRDefault="005773E9">
      <w:pPr>
        <w:pStyle w:val="FR1"/>
        <w:spacing w:line="240" w:lineRule="auto"/>
        <w:ind w:left="0" w:right="0"/>
        <w:rPr>
          <w:rFonts w:ascii="Arial" w:hAnsi="Arial" w:cs="Arial"/>
          <w:bCs/>
          <w:sz w:val="12"/>
          <w:szCs w:val="12"/>
        </w:rPr>
      </w:pPr>
    </w:p>
    <w:p w14:paraId="49F405B6" w14:textId="77777777" w:rsidR="00F07FD9" w:rsidRPr="00F07FD9" w:rsidRDefault="00F07FD9" w:rsidP="00F07FD9">
      <w:pPr>
        <w:jc w:val="center"/>
        <w:rPr>
          <w:rFonts w:ascii="Arial" w:hAnsi="Arial" w:cs="Arial"/>
          <w:b/>
          <w:bCs/>
          <w:sz w:val="28"/>
        </w:rPr>
      </w:pPr>
      <w:r w:rsidRPr="00F07FD9">
        <w:rPr>
          <w:rFonts w:ascii="Arial" w:hAnsi="Arial" w:cs="Arial"/>
          <w:b/>
          <w:bCs/>
          <w:sz w:val="28"/>
        </w:rPr>
        <w:t xml:space="preserve">ИЗДЕЛИЯ МЕДИЦИНСКИЕ ДЛЯ ДИАГНОСТИКИ </w:t>
      </w:r>
      <w:r w:rsidRPr="00F07FD9">
        <w:rPr>
          <w:rFonts w:ascii="Arial" w:hAnsi="Arial" w:cs="Arial"/>
          <w:b/>
          <w:bCs/>
          <w:i/>
          <w:sz w:val="28"/>
          <w:lang w:val="en-US"/>
        </w:rPr>
        <w:t>IN</w:t>
      </w:r>
      <w:r w:rsidRPr="00F07FD9">
        <w:rPr>
          <w:rFonts w:ascii="Arial" w:hAnsi="Arial" w:cs="Arial"/>
          <w:b/>
          <w:bCs/>
          <w:i/>
          <w:sz w:val="28"/>
        </w:rPr>
        <w:t xml:space="preserve"> </w:t>
      </w:r>
      <w:r w:rsidRPr="00F07FD9">
        <w:rPr>
          <w:rFonts w:ascii="Arial" w:hAnsi="Arial" w:cs="Arial"/>
          <w:b/>
          <w:bCs/>
          <w:i/>
          <w:sz w:val="28"/>
          <w:lang w:val="en-US"/>
        </w:rPr>
        <w:t>VITRO</w:t>
      </w:r>
      <w:r w:rsidRPr="00F07FD9">
        <w:rPr>
          <w:rFonts w:ascii="Arial" w:hAnsi="Arial" w:cs="Arial"/>
          <w:b/>
          <w:bCs/>
          <w:sz w:val="28"/>
        </w:rPr>
        <w:t xml:space="preserve"> </w:t>
      </w:r>
    </w:p>
    <w:p w14:paraId="01AC2CBA" w14:textId="56D42A0E" w:rsidR="005773E9" w:rsidRPr="00DA3975" w:rsidRDefault="00F07FD9" w:rsidP="00F07FD9">
      <w:pPr>
        <w:jc w:val="center"/>
        <w:rPr>
          <w:b/>
        </w:rPr>
      </w:pPr>
      <w:r w:rsidRPr="00F07FD9">
        <w:rPr>
          <w:rFonts w:ascii="Arial" w:hAnsi="Arial" w:cs="Arial"/>
          <w:b/>
          <w:bCs/>
          <w:sz w:val="28"/>
        </w:rPr>
        <w:t>Информация, предоставляемая изготовителем с диагностическими реагентами</w:t>
      </w:r>
      <w:r w:rsidRPr="00F07FD9">
        <w:rPr>
          <w:rFonts w:ascii="Arial" w:hAnsi="Arial" w:cs="Arial"/>
          <w:b/>
          <w:bCs/>
          <w:i/>
          <w:sz w:val="28"/>
        </w:rPr>
        <w:t xml:space="preserve"> </w:t>
      </w:r>
      <w:r w:rsidRPr="00F07FD9">
        <w:rPr>
          <w:rFonts w:ascii="Arial" w:hAnsi="Arial" w:cs="Arial"/>
          <w:b/>
          <w:bCs/>
          <w:i/>
          <w:sz w:val="28"/>
          <w:lang w:val="en-US"/>
        </w:rPr>
        <w:t>IN</w:t>
      </w:r>
      <w:r w:rsidRPr="00F07FD9">
        <w:rPr>
          <w:rFonts w:ascii="Arial" w:hAnsi="Arial" w:cs="Arial"/>
          <w:b/>
          <w:bCs/>
          <w:i/>
          <w:sz w:val="28"/>
        </w:rPr>
        <w:t xml:space="preserve"> </w:t>
      </w:r>
      <w:r w:rsidRPr="00F07FD9">
        <w:rPr>
          <w:rFonts w:ascii="Arial" w:hAnsi="Arial" w:cs="Arial"/>
          <w:b/>
          <w:bCs/>
          <w:i/>
          <w:sz w:val="28"/>
          <w:lang w:val="en-US"/>
        </w:rPr>
        <w:t>VITRO</w:t>
      </w:r>
      <w:r w:rsidRPr="00F07FD9">
        <w:rPr>
          <w:rFonts w:ascii="Arial" w:hAnsi="Arial" w:cs="Arial"/>
          <w:b/>
          <w:bCs/>
          <w:sz w:val="28"/>
        </w:rPr>
        <w:t>, применяемыми для окрашивания в биологии</w:t>
      </w:r>
      <w:r w:rsidRPr="00F07FD9">
        <w:rPr>
          <w:rFonts w:ascii="Arial" w:hAnsi="Arial" w:cs="Arial"/>
          <w:b/>
          <w:sz w:val="28"/>
        </w:rPr>
        <w:t xml:space="preserve"> </w:t>
      </w:r>
    </w:p>
    <w:p w14:paraId="453C9531" w14:textId="5E985B8B" w:rsidR="005773E9" w:rsidRDefault="00F07FD9" w:rsidP="00F07FD9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  <w:r w:rsidRPr="00F07FD9">
        <w:rPr>
          <w:rFonts w:ascii="Arial" w:hAnsi="Arial" w:cs="Arial"/>
          <w:b/>
          <w:bCs/>
          <w:lang w:val="en-US"/>
        </w:rPr>
        <w:t xml:space="preserve">In vitro diagnostic medical devices. Information supplied by the manufacturer </w:t>
      </w:r>
      <w:proofErr w:type="gramStart"/>
      <w:r w:rsidRPr="00F07FD9">
        <w:rPr>
          <w:rFonts w:ascii="Arial" w:hAnsi="Arial" w:cs="Arial"/>
          <w:b/>
          <w:bCs/>
          <w:lang w:val="en-US"/>
        </w:rPr>
        <w:t>with  in</w:t>
      </w:r>
      <w:proofErr w:type="gramEnd"/>
      <w:r w:rsidRPr="00F07FD9">
        <w:rPr>
          <w:rFonts w:ascii="Arial" w:hAnsi="Arial" w:cs="Arial"/>
          <w:b/>
          <w:bCs/>
          <w:lang w:val="en-US"/>
        </w:rPr>
        <w:t xml:space="preserve"> vitro diagnostic reagents for staining in biology</w:t>
      </w:r>
    </w:p>
    <w:p w14:paraId="4034466E" w14:textId="77777777" w:rsidR="005773E9" w:rsidRDefault="006F2309">
      <w:pPr>
        <w:widowControl w:val="0"/>
        <w:spacing w:before="120"/>
        <w:ind w:firstLine="680"/>
        <w:jc w:val="right"/>
      </w:pPr>
      <w:r>
        <w:rPr>
          <w:rFonts w:ascii="Arial" w:hAnsi="Arial" w:cs="Arial"/>
          <w:b/>
        </w:rPr>
        <w:t>Дата введения – 2020–__–__</w:t>
      </w:r>
    </w:p>
    <w:p w14:paraId="307EBB56" w14:textId="77777777" w:rsidR="005773E9" w:rsidRDefault="005773E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08E58FC3" w14:textId="77777777" w:rsidR="005773E9" w:rsidRDefault="006F2309">
      <w:pPr>
        <w:pStyle w:val="1"/>
        <w:spacing w:before="240" w:after="240"/>
        <w:rPr>
          <w:rFonts w:ascii="Arial" w:hAnsi="Arial" w:cs="Arial"/>
          <w:color w:val="auto"/>
        </w:rPr>
      </w:pPr>
      <w:bookmarkStart w:id="1" w:name="_Toc40906255"/>
      <w:r>
        <w:rPr>
          <w:rFonts w:ascii="Arial" w:hAnsi="Arial" w:cs="Arial"/>
          <w:color w:val="auto"/>
        </w:rPr>
        <w:t>1 Область применения</w:t>
      </w:r>
      <w:bookmarkEnd w:id="1"/>
    </w:p>
    <w:p w14:paraId="515BA8C9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 xml:space="preserve">1 Область применения </w:t>
      </w:r>
    </w:p>
    <w:p w14:paraId="446701F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Настоящий стандарт устанавливает требования к информации, предоставляемой изготовителями с реагентами, применяемыми для окрашивания в биологии. Требования относятся к изготовителям, поставщикам и продавцам красителей, красок, хромогенных реагентов и других реагентов, применяемых для окрашивания в биологии. Требования к информации, предоставляемой изготовителями, устанавливаемые настоящим стандартом, являются необходимым условием получения сравнимых и воспроизводимых результатов во всех сферах окрашивания в биологии.</w:t>
      </w:r>
    </w:p>
    <w:p w14:paraId="3EC3E7A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7C9AD9F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5BA8D2F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 xml:space="preserve">      2 Нормативные ссылки </w:t>
      </w:r>
    </w:p>
    <w:p w14:paraId="76B124E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В настоящем стандарте использованы нормативные ссылки на следующие международные и европейские региональные стандарты*: </w:t>
      </w:r>
    </w:p>
    <w:p w14:paraId="04E21C2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_______________ </w:t>
      </w:r>
    </w:p>
    <w:p w14:paraId="715E8A1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 xml:space="preserve">* Таблицу соответствия национальных стандартов международным см. по </w:t>
      </w:r>
      <w:r w:rsidRPr="00F07FD9">
        <w:rPr>
          <w:rFonts w:ascii="Arial" w:hAnsi="Arial" w:cs="Arial"/>
        </w:rPr>
        <w:fldChar w:fldCharType="begin"/>
      </w:r>
      <w:r w:rsidRPr="00F07FD9">
        <w:rPr>
          <w:rFonts w:ascii="Arial" w:hAnsi="Arial" w:cs="Arial"/>
        </w:rPr>
        <w:instrText xml:space="preserve"> HYPERLINK "kodeks://link/d?nd=1200105176&amp;point=mark=000000000000000000000000000000000000000000000000008PU0M1"\o"’’ГОСТ Р ИСО 19001-2013 Изделия медицинские для диагностики in vitro. Информация, предоставляемая ...’’</w:instrText>
      </w:r>
    </w:p>
    <w:p w14:paraId="52E4553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instrText>(утв. приказом Росстандарта от 25.10.2013 N 1201-ст)</w:instrText>
      </w:r>
    </w:p>
    <w:p w14:paraId="1CA7110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instrText>Применяется с 01.08.2014</w:instrText>
      </w:r>
    </w:p>
    <w:p w14:paraId="5045FE4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instrText>Статус: действует с 01.08.2014"</w:instrText>
      </w:r>
      <w:r w:rsidRPr="00F07FD9">
        <w:rPr>
          <w:rFonts w:ascii="Arial" w:hAnsi="Arial" w:cs="Arial"/>
        </w:rPr>
        <w:fldChar w:fldCharType="separate"/>
      </w:r>
      <w:r w:rsidRPr="00F07FD9">
        <w:rPr>
          <w:rStyle w:val="afa"/>
          <w:rFonts w:ascii="Arial" w:hAnsi="Arial" w:cs="Arial"/>
        </w:rPr>
        <w:t xml:space="preserve">ссылке </w:t>
      </w:r>
      <w:r w:rsidRPr="00F07FD9">
        <w:rPr>
          <w:rFonts w:ascii="Arial" w:hAnsi="Arial" w:cs="Arial"/>
        </w:rPr>
        <w:fldChar w:fldCharType="end"/>
      </w:r>
      <w:r w:rsidRPr="00F07FD9">
        <w:rPr>
          <w:rFonts w:ascii="Arial" w:hAnsi="Arial" w:cs="Arial"/>
        </w:rPr>
        <w:t xml:space="preserve">. - Примечание изготовителя базы данных.      </w:t>
      </w:r>
    </w:p>
    <w:p w14:paraId="2838F2D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           </w:t>
      </w:r>
    </w:p>
    <w:p w14:paraId="2BC8DE0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ISO 80000-1:2009 Величины и единицы. Часть 1. Общие положения</w:t>
      </w:r>
    </w:p>
    <w:p w14:paraId="53FB583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C72FD8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ISO 80000-9:2019 Величины и единицы. Часть 9. Физическая химия и молекулярная физика</w:t>
      </w:r>
    </w:p>
    <w:p w14:paraId="1274366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ISO \ 18113-1, </w:t>
      </w:r>
      <w:proofErr w:type="gramStart"/>
      <w:r w:rsidRPr="00F07FD9">
        <w:rPr>
          <w:rFonts w:ascii="Arial" w:hAnsi="Arial" w:cs="Arial"/>
        </w:rPr>
        <w:t>В</w:t>
      </w:r>
      <w:proofErr w:type="gramEnd"/>
      <w:r w:rsidRPr="00F07FD9">
        <w:rPr>
          <w:rFonts w:ascii="Arial" w:hAnsi="Arial" w:cs="Arial"/>
        </w:rPr>
        <w:t xml:space="preserve"> пробирке диагностических медицинских приборов \ - Информация, предоставляемая изготовителем (маркировка) \ - Часть 1: Термины, определения и общие требования</w:t>
      </w:r>
    </w:p>
    <w:p w14:paraId="0F58B11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88F843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ISO \ 18113-2, </w:t>
      </w:r>
      <w:proofErr w:type="gramStart"/>
      <w:r w:rsidRPr="00F07FD9">
        <w:rPr>
          <w:rFonts w:ascii="Arial" w:hAnsi="Arial" w:cs="Arial"/>
        </w:rPr>
        <w:t>В</w:t>
      </w:r>
      <w:proofErr w:type="gramEnd"/>
      <w:r w:rsidRPr="00F07FD9">
        <w:rPr>
          <w:rFonts w:ascii="Arial" w:hAnsi="Arial" w:cs="Arial"/>
        </w:rPr>
        <w:t xml:space="preserve"> пробирке диагностических медицинских приборов \ - Информация, предоставляемая изготовителем (маркировка) - Часть \ \ 2: В пробирке диагностических реагентов для профессионального использования</w:t>
      </w:r>
    </w:p>
    <w:p w14:paraId="14D12F2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80A522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Примечание -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ежегодному информационному указателю "Национальные стандарты", который опубликован по состоянию на 1 января текущего года, и по выпускам ежемесячного информационного указателя "Национальные стандарты" за текущий год. Если заменен ссылочный стандарт, на который дана недатированная ссылка, то рекомендуется использовать действующую версию этого стандарта с учетом всех внесенных в данную версию изменений. Если заменен ссылочный стандарт, на который дана датированная ссылка, то рекомендуется использовать версию этого стандарта с указанным выше годом утверждения (принятия). Если после утверждения настоящего стандарта в ссылочный стандарт, на который дана датированная ссылка, внесено изменение, затрагивающее положение, на которое дана ссылка, то это положение </w:t>
      </w:r>
      <w:r w:rsidRPr="00F07FD9">
        <w:rPr>
          <w:rFonts w:ascii="Arial" w:hAnsi="Arial" w:cs="Arial"/>
        </w:rPr>
        <w:lastRenderedPageBreak/>
        <w:t>рекомендуется применять без учета данного изменения. Если ссылочный стандарт отменен без замены, то положение, в котором дана ссылка на него, рекомендуется применять в части, не затрагивающей эту ссылку.</w:t>
      </w:r>
    </w:p>
    <w:p w14:paraId="7EFE15A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74919B0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10F65DC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 xml:space="preserve">      3 Термины и определения </w:t>
      </w:r>
    </w:p>
    <w:p w14:paraId="567942B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В настоящем стандарте применены следующие термины с соответствующими им определениями:</w:t>
      </w:r>
    </w:p>
    <w:p w14:paraId="211119FB" w14:textId="49716AEE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1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>антитело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</w:rPr>
        <w:t>(</w:t>
      </w:r>
      <w:proofErr w:type="spellStart"/>
      <w:r w:rsidRPr="00F07FD9">
        <w:rPr>
          <w:rFonts w:ascii="Arial" w:hAnsi="Arial" w:cs="Arial"/>
        </w:rPr>
        <w:t>antibody</w:t>
      </w:r>
      <w:proofErr w:type="spellEnd"/>
      <w:r w:rsidRPr="00F07FD9">
        <w:rPr>
          <w:rFonts w:ascii="Arial" w:hAnsi="Arial" w:cs="Arial"/>
        </w:rPr>
        <w:t xml:space="preserve">): Специфический иммуноглобулин, образованный </w:t>
      </w:r>
      <w:proofErr w:type="gramStart"/>
      <w:r w:rsidRPr="00F07FD9">
        <w:rPr>
          <w:rFonts w:ascii="Arial" w:hAnsi="Arial" w:cs="Arial"/>
        </w:rPr>
        <w:t>В-лимфоцитами в</w:t>
      </w:r>
      <w:proofErr w:type="gramEnd"/>
      <w:r w:rsidRPr="00F07FD9">
        <w:rPr>
          <w:rFonts w:ascii="Arial" w:hAnsi="Arial" w:cs="Arial"/>
        </w:rPr>
        <w:t xml:space="preserve"> ответ на воздействие </w:t>
      </w:r>
      <w:proofErr w:type="spellStart"/>
      <w:r w:rsidRPr="00F07FD9">
        <w:rPr>
          <w:rFonts w:ascii="Arial" w:hAnsi="Arial" w:cs="Arial"/>
        </w:rPr>
        <w:t>иммуногенным</w:t>
      </w:r>
      <w:proofErr w:type="spellEnd"/>
      <w:r w:rsidRPr="00F07FD9">
        <w:rPr>
          <w:rFonts w:ascii="Arial" w:hAnsi="Arial" w:cs="Arial"/>
        </w:rPr>
        <w:t xml:space="preserve"> веществом и способный связываться с ним.</w:t>
      </w:r>
    </w:p>
    <w:p w14:paraId="35D7C06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Примечание - Молекула </w:t>
      </w:r>
      <w:proofErr w:type="spellStart"/>
      <w:r w:rsidRPr="00F07FD9">
        <w:rPr>
          <w:rFonts w:ascii="Arial" w:hAnsi="Arial" w:cs="Arial"/>
        </w:rPr>
        <w:t>иммуногенного</w:t>
      </w:r>
      <w:proofErr w:type="spellEnd"/>
      <w:r w:rsidRPr="00F07FD9">
        <w:rPr>
          <w:rFonts w:ascii="Arial" w:hAnsi="Arial" w:cs="Arial"/>
        </w:rPr>
        <w:t xml:space="preserve"> вещества содержит одну или несколько частей с характерным химическим составом, </w:t>
      </w:r>
      <w:proofErr w:type="spellStart"/>
      <w:r w:rsidRPr="00F07FD9">
        <w:rPr>
          <w:rFonts w:ascii="Arial" w:hAnsi="Arial" w:cs="Arial"/>
        </w:rPr>
        <w:t>эпитоп</w:t>
      </w:r>
      <w:proofErr w:type="spellEnd"/>
      <w:r w:rsidRPr="00F07FD9">
        <w:rPr>
          <w:rFonts w:ascii="Arial" w:hAnsi="Arial" w:cs="Arial"/>
        </w:rPr>
        <w:t>.</w:t>
      </w:r>
    </w:p>
    <w:p w14:paraId="4CDA8597" w14:textId="4476B878" w:rsidR="00F07FD9" w:rsidRPr="00F07FD9" w:rsidRDefault="00E043B7" w:rsidP="00F07FD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</w:t>
      </w:r>
      <w:r w:rsidR="00F07FD9" w:rsidRPr="00F07FD9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</w:t>
      </w:r>
      <w:r w:rsidR="00F07FD9" w:rsidRPr="00F07FD9">
        <w:rPr>
          <w:rFonts w:ascii="Arial" w:hAnsi="Arial" w:cs="Arial"/>
          <w:b/>
          <w:bCs/>
        </w:rPr>
        <w:t>блокирующий реагент</w:t>
      </w:r>
      <w:r>
        <w:rPr>
          <w:rFonts w:ascii="Arial" w:hAnsi="Arial" w:cs="Arial"/>
          <w:b/>
          <w:bCs/>
        </w:rPr>
        <w:t xml:space="preserve">: </w:t>
      </w:r>
      <w:r w:rsidRPr="00E043B7">
        <w:rPr>
          <w:rFonts w:ascii="Arial" w:hAnsi="Arial" w:cs="Arial"/>
          <w:bCs/>
        </w:rPr>
        <w:t>Р</w:t>
      </w:r>
      <w:r w:rsidR="00F07FD9" w:rsidRPr="00F07FD9">
        <w:rPr>
          <w:rFonts w:ascii="Arial" w:hAnsi="Arial" w:cs="Arial"/>
        </w:rPr>
        <w:t>еагент, который используется, чтобы уменьшить присущий фон образца перед окрашиванием</w:t>
      </w:r>
    </w:p>
    <w:p w14:paraId="73FC3783" w14:textId="7786159E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>хромогенный реагент</w:t>
      </w:r>
      <w:r w:rsidRPr="00F07FD9">
        <w:rPr>
          <w:rFonts w:ascii="Arial" w:hAnsi="Arial" w:cs="Arial"/>
        </w:rPr>
        <w:t xml:space="preserve"> (</w:t>
      </w:r>
      <w:proofErr w:type="spellStart"/>
      <w:r w:rsidRPr="00F07FD9">
        <w:rPr>
          <w:rFonts w:ascii="Arial" w:hAnsi="Arial" w:cs="Arial"/>
        </w:rPr>
        <w:t>chromogenic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reagent</w:t>
      </w:r>
      <w:proofErr w:type="spellEnd"/>
      <w:r w:rsidRPr="00F07FD9">
        <w:rPr>
          <w:rFonts w:ascii="Arial" w:hAnsi="Arial" w:cs="Arial"/>
        </w:rPr>
        <w:t>):</w:t>
      </w:r>
      <w:r w:rsidR="00E043B7">
        <w:rPr>
          <w:rFonts w:ascii="Arial" w:hAnsi="Arial" w:cs="Arial"/>
        </w:rPr>
        <w:t xml:space="preserve"> </w:t>
      </w:r>
      <w:r w:rsidRPr="00F07FD9">
        <w:rPr>
          <w:rFonts w:ascii="Arial" w:hAnsi="Arial" w:cs="Arial"/>
        </w:rPr>
        <w:t xml:space="preserve">Реагент, который реагирует с химическими группами, присутствующими или вызванными в клетках и тканях, с образованием окрашенного соединения </w:t>
      </w:r>
      <w:proofErr w:type="spellStart"/>
      <w:r w:rsidRPr="00F07FD9">
        <w:rPr>
          <w:rFonts w:ascii="Arial" w:hAnsi="Arial" w:cs="Arial"/>
        </w:rPr>
        <w:t>in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situ</w:t>
      </w:r>
      <w:proofErr w:type="spellEnd"/>
      <w:r w:rsidRPr="00F07FD9">
        <w:rPr>
          <w:rFonts w:ascii="Arial" w:hAnsi="Arial" w:cs="Arial"/>
        </w:rPr>
        <w:t>.</w:t>
      </w:r>
    </w:p>
    <w:p w14:paraId="1B0CBAD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Пример - Типичные хромогенные реагенты:</w:t>
      </w:r>
    </w:p>
    <w:p w14:paraId="79E6524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a) соль </w:t>
      </w:r>
      <w:proofErr w:type="spellStart"/>
      <w:r w:rsidRPr="00F07FD9">
        <w:rPr>
          <w:rFonts w:ascii="Arial" w:hAnsi="Arial" w:cs="Arial"/>
        </w:rPr>
        <w:t>диазония</w:t>
      </w:r>
      <w:proofErr w:type="spellEnd"/>
      <w:r w:rsidRPr="00F07FD9">
        <w:rPr>
          <w:rFonts w:ascii="Arial" w:hAnsi="Arial" w:cs="Arial"/>
        </w:rPr>
        <w:t>;</w:t>
      </w:r>
    </w:p>
    <w:p w14:paraId="68C802F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b) реагент </w:t>
      </w:r>
      <w:proofErr w:type="spellStart"/>
      <w:r w:rsidRPr="00F07FD9">
        <w:rPr>
          <w:rFonts w:ascii="Arial" w:hAnsi="Arial" w:cs="Arial"/>
        </w:rPr>
        <w:t>Шиффа</w:t>
      </w:r>
      <w:proofErr w:type="spellEnd"/>
      <w:r w:rsidRPr="00F07FD9">
        <w:rPr>
          <w:rFonts w:ascii="Arial" w:hAnsi="Arial" w:cs="Arial"/>
        </w:rPr>
        <w:t>.</w:t>
      </w:r>
    </w:p>
    <w:p w14:paraId="4F4FF8A1" w14:textId="23495924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Cs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4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 xml:space="preserve">красящее вещество </w:t>
      </w:r>
      <w:r w:rsidRPr="00E043B7">
        <w:rPr>
          <w:rFonts w:ascii="Arial" w:hAnsi="Arial" w:cs="Arial"/>
          <w:bCs/>
        </w:rPr>
        <w:t>(</w:t>
      </w:r>
      <w:r w:rsidRPr="00E043B7">
        <w:rPr>
          <w:rFonts w:ascii="Arial" w:hAnsi="Arial" w:cs="Arial"/>
          <w:bCs/>
          <w:lang w:val="en-US"/>
        </w:rPr>
        <w:t>dye</w:t>
      </w:r>
      <w:r w:rsidRPr="00E043B7">
        <w:rPr>
          <w:rFonts w:ascii="Arial" w:hAnsi="Arial" w:cs="Arial"/>
          <w:bCs/>
        </w:rPr>
        <w:t>)</w:t>
      </w:r>
      <w:r w:rsidR="00E043B7" w:rsidRPr="00E043B7">
        <w:rPr>
          <w:rFonts w:ascii="Arial" w:hAnsi="Arial" w:cs="Arial"/>
          <w:bCs/>
        </w:rPr>
        <w:t>: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Cs/>
        </w:rPr>
        <w:t>Окрашенное органическое соединение, которое, будучи растворенным в подходящем растворителе, способно придать цвет материалу.</w:t>
      </w:r>
    </w:p>
    <w:p w14:paraId="1183D772" w14:textId="2F5EB551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3.5</w:t>
      </w:r>
      <w:r w:rsidR="00E043B7">
        <w:rPr>
          <w:rFonts w:ascii="Arial" w:hAnsi="Arial" w:cs="Arial"/>
          <w:b/>
          <w:bCs/>
        </w:rPr>
        <w:t xml:space="preserve"> </w:t>
      </w:r>
      <w:proofErr w:type="spellStart"/>
      <w:r w:rsidRPr="00F07FD9">
        <w:rPr>
          <w:rFonts w:ascii="Arial" w:hAnsi="Arial" w:cs="Arial"/>
          <w:b/>
          <w:bCs/>
        </w:rPr>
        <w:t>флюорохром</w:t>
      </w:r>
      <w:proofErr w:type="spellEnd"/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</w:rPr>
        <w:t>(</w:t>
      </w:r>
      <w:proofErr w:type="spellStart"/>
      <w:r w:rsidRPr="00F07FD9">
        <w:rPr>
          <w:rFonts w:ascii="Arial" w:hAnsi="Arial" w:cs="Arial"/>
        </w:rPr>
        <w:t>fluorochrome</w:t>
      </w:r>
      <w:proofErr w:type="spellEnd"/>
      <w:r w:rsidRPr="00F07FD9">
        <w:rPr>
          <w:rFonts w:ascii="Arial" w:hAnsi="Arial" w:cs="Arial"/>
        </w:rPr>
        <w:t>): Реагент, который испускает видимый свет при облучении возбуждающим светом более короткой длины волны.</w:t>
      </w:r>
    </w:p>
    <w:p w14:paraId="09ECDA3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>Примечание 1 - Любой из различных флуоресцентных веществ, используемых в биологических окрашивания для получения флуоресценции в образце.</w:t>
      </w:r>
    </w:p>
    <w:p w14:paraId="754F64E5" w14:textId="6DAB90AB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3.6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>реагент для диагностики</w:t>
      </w:r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  <w:b/>
          <w:bCs/>
          <w:i/>
          <w:iCs/>
        </w:rPr>
        <w:t>in</w:t>
      </w:r>
      <w:proofErr w:type="spellEnd"/>
      <w:r w:rsidRPr="00F07FD9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F07FD9">
        <w:rPr>
          <w:rFonts w:ascii="Arial" w:hAnsi="Arial" w:cs="Arial"/>
          <w:b/>
          <w:bCs/>
          <w:i/>
          <w:iCs/>
        </w:rPr>
        <w:t>vitro</w:t>
      </w:r>
      <w:proofErr w:type="spellEnd"/>
      <w:r w:rsidRPr="00F07FD9">
        <w:rPr>
          <w:rFonts w:ascii="Arial" w:hAnsi="Arial" w:cs="Arial"/>
        </w:rPr>
        <w:t xml:space="preserve"> (</w:t>
      </w:r>
      <w:proofErr w:type="spellStart"/>
      <w:r w:rsidRPr="00F07FD9">
        <w:rPr>
          <w:rFonts w:ascii="Arial" w:hAnsi="Arial" w:cs="Arial"/>
          <w:i/>
          <w:iCs/>
        </w:rPr>
        <w:t>in</w:t>
      </w:r>
      <w:proofErr w:type="spellEnd"/>
      <w:r w:rsidRPr="00F07FD9">
        <w:rPr>
          <w:rFonts w:ascii="Arial" w:hAnsi="Arial" w:cs="Arial"/>
          <w:i/>
          <w:iCs/>
        </w:rPr>
        <w:t xml:space="preserve"> </w:t>
      </w:r>
      <w:proofErr w:type="spellStart"/>
      <w:r w:rsidRPr="00F07FD9">
        <w:rPr>
          <w:rFonts w:ascii="Arial" w:hAnsi="Arial" w:cs="Arial"/>
          <w:i/>
          <w:iCs/>
        </w:rPr>
        <w:t>vitro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diagnostic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reagent</w:t>
      </w:r>
      <w:proofErr w:type="spellEnd"/>
      <w:r w:rsidRPr="00F07FD9">
        <w:rPr>
          <w:rFonts w:ascii="Arial" w:hAnsi="Arial" w:cs="Arial"/>
        </w:rPr>
        <w:t xml:space="preserve">): Химические, биологические или иммунологические компоненты, растворы или препараты, предназначенные изготовителем для применения в качестве медицинского изделия для диагностики </w:t>
      </w:r>
      <w:proofErr w:type="spellStart"/>
      <w:r w:rsidRPr="00F07FD9">
        <w:rPr>
          <w:rFonts w:ascii="Arial" w:hAnsi="Arial" w:cs="Arial"/>
          <w:i/>
          <w:iCs/>
        </w:rPr>
        <w:t>in</w:t>
      </w:r>
      <w:proofErr w:type="spellEnd"/>
      <w:r w:rsidRPr="00F07FD9">
        <w:rPr>
          <w:rFonts w:ascii="Arial" w:hAnsi="Arial" w:cs="Arial"/>
          <w:i/>
          <w:iCs/>
        </w:rPr>
        <w:t xml:space="preserve"> </w:t>
      </w:r>
      <w:proofErr w:type="spellStart"/>
      <w:r w:rsidRPr="00F07FD9">
        <w:rPr>
          <w:rFonts w:ascii="Arial" w:hAnsi="Arial" w:cs="Arial"/>
          <w:i/>
          <w:iCs/>
        </w:rPr>
        <w:t>vitro</w:t>
      </w:r>
      <w:proofErr w:type="spellEnd"/>
    </w:p>
    <w:p w14:paraId="01DE915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 [ИСО \ 18113 \ 1 определение 3.28]</w:t>
      </w:r>
    </w:p>
    <w:p w14:paraId="595EE920" w14:textId="728A4C65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3.7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</w:rPr>
        <w:t>информация, представляемая изготовителем, маркировка</w:t>
      </w:r>
      <w:r w:rsidRPr="00F07FD9">
        <w:rPr>
          <w:rFonts w:ascii="Arial" w:hAnsi="Arial" w:cs="Arial"/>
        </w:rPr>
        <w:t xml:space="preserve"> (</w:t>
      </w:r>
      <w:proofErr w:type="spellStart"/>
      <w:r w:rsidRPr="00F07FD9">
        <w:rPr>
          <w:rFonts w:ascii="Arial" w:hAnsi="Arial" w:cs="Arial"/>
        </w:rPr>
        <w:t>information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supplied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by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the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manufacturer</w:t>
      </w:r>
      <w:proofErr w:type="spellEnd"/>
      <w:r w:rsidRPr="00F07FD9">
        <w:rPr>
          <w:rFonts w:ascii="Arial" w:hAnsi="Arial" w:cs="Arial"/>
        </w:rPr>
        <w:t xml:space="preserve">, </w:t>
      </w:r>
      <w:proofErr w:type="spellStart"/>
      <w:r w:rsidRPr="00F07FD9">
        <w:rPr>
          <w:rFonts w:ascii="Arial" w:hAnsi="Arial" w:cs="Arial"/>
        </w:rPr>
        <w:t>labelling</w:t>
      </w:r>
      <w:proofErr w:type="spellEnd"/>
      <w:r w:rsidRPr="00F07FD9">
        <w:rPr>
          <w:rFonts w:ascii="Arial" w:hAnsi="Arial" w:cs="Arial"/>
        </w:rPr>
        <w:t>): Письменное, напечатанное или графическое изображение:</w:t>
      </w:r>
    </w:p>
    <w:p w14:paraId="239B086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- закрепленное на медицинском изделии или на его упаковке или обертке; или</w:t>
      </w:r>
    </w:p>
    <w:p w14:paraId="6F4BE8B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- предоставленное для применения с медицинским изделием;</w:t>
      </w:r>
    </w:p>
    <w:p w14:paraId="164554E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- связанное с идентификацией, техническим описанием и применением медицинского изделия для диагностики </w:t>
      </w:r>
      <w:proofErr w:type="spellStart"/>
      <w:r w:rsidRPr="00F07FD9">
        <w:rPr>
          <w:rFonts w:ascii="Arial" w:hAnsi="Arial" w:cs="Arial"/>
        </w:rPr>
        <w:t>in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vitro</w:t>
      </w:r>
      <w:proofErr w:type="spellEnd"/>
      <w:r w:rsidRPr="00F07FD9">
        <w:rPr>
          <w:rFonts w:ascii="Arial" w:hAnsi="Arial" w:cs="Arial"/>
        </w:rPr>
        <w:t>, но не включающее в себя транспортные документы.</w:t>
      </w:r>
    </w:p>
    <w:p w14:paraId="33C01FC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Пример - Этикетки, инструкции по применению.</w:t>
      </w:r>
    </w:p>
    <w:p w14:paraId="418341E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Примечание</w:t>
      </w:r>
    </w:p>
    <w:p w14:paraId="7AE4512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1 </w:t>
      </w:r>
      <w:proofErr w:type="gramStart"/>
      <w:r w:rsidRPr="00F07FD9">
        <w:rPr>
          <w:rFonts w:ascii="Arial" w:hAnsi="Arial" w:cs="Arial"/>
        </w:rPr>
        <w:t>В</w:t>
      </w:r>
      <w:proofErr w:type="gramEnd"/>
      <w:r w:rsidRPr="00F07FD9">
        <w:rPr>
          <w:rFonts w:ascii="Arial" w:hAnsi="Arial" w:cs="Arial"/>
        </w:rPr>
        <w:t xml:space="preserve"> стандартах МЭК документы, предоставленные с медицинским изделием и содержащие важную информацию для ответственной организации или оператора, в частности касающиеся безопасности, именуются "сопровождающие документы".</w:t>
      </w:r>
    </w:p>
    <w:p w14:paraId="566E0D3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2 Для медицинских изделий для диагностики </w:t>
      </w:r>
      <w:proofErr w:type="spellStart"/>
      <w:r w:rsidRPr="00F07FD9">
        <w:rPr>
          <w:rFonts w:ascii="Arial" w:hAnsi="Arial" w:cs="Arial"/>
        </w:rPr>
        <w:t>in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vitro</w:t>
      </w:r>
      <w:proofErr w:type="spellEnd"/>
      <w:r w:rsidRPr="00F07FD9">
        <w:rPr>
          <w:rFonts w:ascii="Arial" w:hAnsi="Arial" w:cs="Arial"/>
        </w:rPr>
        <w:t xml:space="preserve"> каталоги и материалы по безопасности не рассматриваются как маркировка.</w:t>
      </w:r>
    </w:p>
    <w:p w14:paraId="4D612A6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3 [ИСО \ 18113 \ 1 определение 3.29.]</w:t>
      </w:r>
    </w:p>
    <w:p w14:paraId="4DD4A458" w14:textId="727A0FBC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3.8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>этикетка</w:t>
      </w:r>
      <w:r w:rsidRPr="00F07FD9">
        <w:rPr>
          <w:rFonts w:ascii="Arial" w:hAnsi="Arial" w:cs="Arial"/>
        </w:rPr>
        <w:t xml:space="preserve"> (</w:t>
      </w:r>
      <w:proofErr w:type="spellStart"/>
      <w:r w:rsidRPr="00F07FD9">
        <w:rPr>
          <w:rFonts w:ascii="Arial" w:hAnsi="Arial" w:cs="Arial"/>
        </w:rPr>
        <w:t>label</w:t>
      </w:r>
      <w:proofErr w:type="spellEnd"/>
      <w:r w:rsidRPr="00F07FD9">
        <w:rPr>
          <w:rFonts w:ascii="Arial" w:hAnsi="Arial" w:cs="Arial"/>
        </w:rPr>
        <w:t>):</w:t>
      </w:r>
      <w:r w:rsidR="00E043B7">
        <w:rPr>
          <w:rFonts w:ascii="Arial" w:hAnsi="Arial" w:cs="Arial"/>
        </w:rPr>
        <w:t xml:space="preserve"> </w:t>
      </w:r>
      <w:r w:rsidRPr="00F07FD9">
        <w:rPr>
          <w:rFonts w:ascii="Arial" w:hAnsi="Arial" w:cs="Arial"/>
        </w:rPr>
        <w:t xml:space="preserve">Печатная, рукописная или графическая информация, помещенная на медицинском изделии для диагностики </w:t>
      </w:r>
      <w:proofErr w:type="spellStart"/>
      <w:r w:rsidRPr="00F07FD9">
        <w:rPr>
          <w:rFonts w:ascii="Arial" w:hAnsi="Arial" w:cs="Arial"/>
          <w:i/>
          <w:iCs/>
        </w:rPr>
        <w:t>in</w:t>
      </w:r>
      <w:proofErr w:type="spellEnd"/>
      <w:r w:rsidRPr="00F07FD9">
        <w:rPr>
          <w:rFonts w:ascii="Arial" w:hAnsi="Arial" w:cs="Arial"/>
          <w:i/>
          <w:iCs/>
        </w:rPr>
        <w:t xml:space="preserve"> </w:t>
      </w:r>
      <w:proofErr w:type="spellStart"/>
      <w:r w:rsidRPr="00F07FD9">
        <w:rPr>
          <w:rFonts w:ascii="Arial" w:hAnsi="Arial" w:cs="Arial"/>
          <w:i/>
          <w:iCs/>
        </w:rPr>
        <w:t>vitro</w:t>
      </w:r>
      <w:proofErr w:type="spellEnd"/>
      <w:r w:rsidRPr="00F07FD9">
        <w:rPr>
          <w:rFonts w:ascii="Arial" w:hAnsi="Arial" w:cs="Arial"/>
        </w:rPr>
        <w:t xml:space="preserve"> или на его упаковке.</w:t>
      </w:r>
    </w:p>
    <w:p w14:paraId="485E649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Примечания</w:t>
      </w:r>
    </w:p>
    <w:p w14:paraId="4F75034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>1 Этикетка, постоянно закрепленная на медицинском изделии, рассматривается как маркировка (см. 3.37).</w:t>
      </w:r>
    </w:p>
    <w:p w14:paraId="0FF6871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[ИСО \ 18113 \ 1 определение 3.33.]</w:t>
      </w:r>
    </w:p>
    <w:p w14:paraId="2ADFC3D6" w14:textId="4A2FB824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9</w:t>
      </w:r>
      <w:r w:rsidR="00E043B7">
        <w:rPr>
          <w:rFonts w:ascii="Arial" w:hAnsi="Arial" w:cs="Arial"/>
          <w:b/>
          <w:bCs/>
        </w:rPr>
        <w:t xml:space="preserve"> </w:t>
      </w:r>
      <w:proofErr w:type="spellStart"/>
      <w:r w:rsidRPr="00F07FD9">
        <w:rPr>
          <w:rFonts w:ascii="Arial" w:hAnsi="Arial" w:cs="Arial"/>
          <w:b/>
          <w:bCs/>
        </w:rPr>
        <w:t>лектин</w:t>
      </w:r>
      <w:proofErr w:type="spellEnd"/>
      <w:r w:rsidR="00E043B7">
        <w:rPr>
          <w:rFonts w:ascii="Arial" w:hAnsi="Arial" w:cs="Arial"/>
          <w:b/>
          <w:bCs/>
        </w:rPr>
        <w:t xml:space="preserve">: </w:t>
      </w:r>
      <w:r w:rsidRPr="00F07FD9">
        <w:rPr>
          <w:rFonts w:ascii="Arial" w:hAnsi="Arial" w:cs="Arial"/>
        </w:rPr>
        <w:t xml:space="preserve">Белок </w:t>
      </w:r>
      <w:proofErr w:type="spellStart"/>
      <w:r w:rsidRPr="00F07FD9">
        <w:rPr>
          <w:rFonts w:ascii="Arial" w:hAnsi="Arial" w:cs="Arial"/>
        </w:rPr>
        <w:t>неиммуногенного</w:t>
      </w:r>
      <w:proofErr w:type="spellEnd"/>
      <w:r w:rsidRPr="00F07FD9">
        <w:rPr>
          <w:rFonts w:ascii="Arial" w:hAnsi="Arial" w:cs="Arial"/>
        </w:rPr>
        <w:t xml:space="preserve"> происхождения с двумя или несколькими связывающими участками, который распознает и связывается со специфическими остатками сахаридов.</w:t>
      </w:r>
    </w:p>
    <w:p w14:paraId="5E2EE7A5" w14:textId="2899A19F" w:rsidR="00F07FD9" w:rsidRPr="00F07FD9" w:rsidRDefault="00E043B7" w:rsidP="00F07FD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</w:t>
      </w:r>
      <w:r w:rsidR="00F07FD9" w:rsidRPr="00F07FD9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F07FD9" w:rsidRPr="00F07FD9">
        <w:rPr>
          <w:rFonts w:ascii="Arial" w:hAnsi="Arial" w:cs="Arial"/>
          <w:b/>
          <w:bCs/>
        </w:rPr>
        <w:t>моноклональное</w:t>
      </w:r>
      <w:proofErr w:type="spellEnd"/>
      <w:r w:rsidR="00F07FD9" w:rsidRPr="00F07FD9">
        <w:rPr>
          <w:rFonts w:ascii="Arial" w:hAnsi="Arial" w:cs="Arial"/>
          <w:b/>
          <w:bCs/>
        </w:rPr>
        <w:t xml:space="preserve"> антитело</w:t>
      </w:r>
      <w:r w:rsidR="00F07FD9" w:rsidRPr="00F07FD9">
        <w:rPr>
          <w:rFonts w:ascii="Arial" w:hAnsi="Arial" w:cs="Arial"/>
        </w:rPr>
        <w:t xml:space="preserve"> (</w:t>
      </w:r>
      <w:proofErr w:type="spellStart"/>
      <w:r w:rsidR="00F07FD9" w:rsidRPr="00F07FD9">
        <w:rPr>
          <w:rFonts w:ascii="Arial" w:hAnsi="Arial" w:cs="Arial"/>
        </w:rPr>
        <w:t>monoclonal</w:t>
      </w:r>
      <w:proofErr w:type="spellEnd"/>
      <w:r w:rsidR="00F07FD9" w:rsidRPr="00F07FD9">
        <w:rPr>
          <w:rFonts w:ascii="Arial" w:hAnsi="Arial" w:cs="Arial"/>
        </w:rPr>
        <w:t xml:space="preserve"> </w:t>
      </w:r>
      <w:proofErr w:type="spellStart"/>
      <w:r w:rsidR="00F07FD9" w:rsidRPr="00F07FD9">
        <w:rPr>
          <w:rFonts w:ascii="Arial" w:hAnsi="Arial" w:cs="Arial"/>
        </w:rPr>
        <w:t>antibody</w:t>
      </w:r>
      <w:proofErr w:type="spellEnd"/>
      <w:r w:rsidR="00F07FD9" w:rsidRPr="00F07FD9">
        <w:rPr>
          <w:rFonts w:ascii="Arial" w:hAnsi="Arial" w:cs="Arial"/>
        </w:rPr>
        <w:t xml:space="preserve">): Антитело, способное специфически реагировать с одиночным </w:t>
      </w:r>
      <w:proofErr w:type="spellStart"/>
      <w:r w:rsidR="00F07FD9" w:rsidRPr="00F07FD9">
        <w:rPr>
          <w:rFonts w:ascii="Arial" w:hAnsi="Arial" w:cs="Arial"/>
        </w:rPr>
        <w:t>эпитопом</w:t>
      </w:r>
      <w:proofErr w:type="spellEnd"/>
      <w:r w:rsidR="00F07FD9" w:rsidRPr="00F07FD9">
        <w:rPr>
          <w:rFonts w:ascii="Arial" w:hAnsi="Arial" w:cs="Arial"/>
        </w:rPr>
        <w:t xml:space="preserve"> определенного </w:t>
      </w:r>
      <w:proofErr w:type="spellStart"/>
      <w:r w:rsidR="00F07FD9" w:rsidRPr="00F07FD9">
        <w:rPr>
          <w:rFonts w:ascii="Arial" w:hAnsi="Arial" w:cs="Arial"/>
        </w:rPr>
        <w:t>иммуногенного</w:t>
      </w:r>
      <w:proofErr w:type="spellEnd"/>
      <w:r w:rsidR="00F07FD9" w:rsidRPr="00F07FD9">
        <w:rPr>
          <w:rFonts w:ascii="Arial" w:hAnsi="Arial" w:cs="Arial"/>
        </w:rPr>
        <w:t xml:space="preserve"> вещества.</w:t>
      </w:r>
    </w:p>
    <w:p w14:paraId="7C74441F" w14:textId="367600FB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3.11</w:t>
      </w:r>
      <w:r w:rsidR="00E043B7">
        <w:rPr>
          <w:rFonts w:ascii="Arial" w:hAnsi="Arial" w:cs="Arial"/>
          <w:b/>
          <w:bCs/>
        </w:rPr>
        <w:t xml:space="preserve"> </w:t>
      </w:r>
      <w:proofErr w:type="spellStart"/>
      <w:r w:rsidRPr="00F07FD9">
        <w:rPr>
          <w:rFonts w:ascii="Arial" w:hAnsi="Arial" w:cs="Arial"/>
          <w:b/>
          <w:bCs/>
        </w:rPr>
        <w:t>поликлональные</w:t>
      </w:r>
      <w:proofErr w:type="spellEnd"/>
      <w:r w:rsidRPr="00F07FD9">
        <w:rPr>
          <w:rFonts w:ascii="Arial" w:hAnsi="Arial" w:cs="Arial"/>
          <w:b/>
          <w:bCs/>
        </w:rPr>
        <w:t xml:space="preserve"> антитела</w:t>
      </w:r>
      <w:r w:rsidRPr="00F07FD9">
        <w:rPr>
          <w:rFonts w:ascii="Arial" w:hAnsi="Arial" w:cs="Arial"/>
        </w:rPr>
        <w:t xml:space="preserve"> (</w:t>
      </w:r>
      <w:proofErr w:type="spellStart"/>
      <w:r w:rsidRPr="00F07FD9">
        <w:rPr>
          <w:rFonts w:ascii="Arial" w:hAnsi="Arial" w:cs="Arial"/>
        </w:rPr>
        <w:t>polyclonal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antibody</w:t>
      </w:r>
      <w:proofErr w:type="spellEnd"/>
      <w:r w:rsidRPr="00F07FD9">
        <w:rPr>
          <w:rFonts w:ascii="Arial" w:hAnsi="Arial" w:cs="Arial"/>
        </w:rPr>
        <w:t xml:space="preserve">): Смесь антител, способных специфически реагировать с определенным </w:t>
      </w:r>
      <w:proofErr w:type="spellStart"/>
      <w:r w:rsidRPr="00F07FD9">
        <w:rPr>
          <w:rFonts w:ascii="Arial" w:hAnsi="Arial" w:cs="Arial"/>
        </w:rPr>
        <w:t>иммуногенным</w:t>
      </w:r>
      <w:proofErr w:type="spellEnd"/>
      <w:r w:rsidRPr="00F07FD9">
        <w:rPr>
          <w:rFonts w:ascii="Arial" w:hAnsi="Arial" w:cs="Arial"/>
        </w:rPr>
        <w:t xml:space="preserve"> веществом.</w:t>
      </w:r>
    </w:p>
    <w:p w14:paraId="6DD9054B" w14:textId="6185CB3F" w:rsidR="00F07FD9" w:rsidRPr="00F07FD9" w:rsidRDefault="00E043B7" w:rsidP="00F07FD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</w:t>
      </w:r>
      <w:r w:rsidR="00F07FD9" w:rsidRPr="00F07FD9">
        <w:rPr>
          <w:rFonts w:ascii="Arial" w:hAnsi="Arial" w:cs="Arial"/>
          <w:b/>
          <w:bCs/>
        </w:rPr>
        <w:t>12</w:t>
      </w:r>
      <w:r>
        <w:rPr>
          <w:rFonts w:ascii="Arial" w:hAnsi="Arial" w:cs="Arial"/>
          <w:b/>
          <w:bCs/>
        </w:rPr>
        <w:t xml:space="preserve"> </w:t>
      </w:r>
      <w:r w:rsidR="00F07FD9" w:rsidRPr="00F07FD9">
        <w:rPr>
          <w:rFonts w:ascii="Arial" w:hAnsi="Arial" w:cs="Arial"/>
          <w:b/>
          <w:bCs/>
        </w:rPr>
        <w:t>окрашивание</w:t>
      </w:r>
      <w:r w:rsidR="00F07FD9" w:rsidRPr="00F07FD9">
        <w:rPr>
          <w:rFonts w:ascii="Arial" w:hAnsi="Arial" w:cs="Arial"/>
        </w:rPr>
        <w:t>(</w:t>
      </w:r>
      <w:proofErr w:type="spellStart"/>
      <w:r w:rsidR="00F07FD9" w:rsidRPr="00F07FD9">
        <w:rPr>
          <w:rFonts w:ascii="Arial" w:hAnsi="Arial" w:cs="Arial"/>
        </w:rPr>
        <w:t>staining</w:t>
      </w:r>
      <w:proofErr w:type="spellEnd"/>
      <w:r w:rsidR="00F07FD9" w:rsidRPr="00F07FD9">
        <w:rPr>
          <w:rFonts w:ascii="Arial" w:hAnsi="Arial" w:cs="Arial"/>
        </w:rPr>
        <w:t>): Придание цвета материалу с помощью реакции с красителем или хромогенным реагентом</w:t>
      </w:r>
    </w:p>
    <w:p w14:paraId="413BFCA4" w14:textId="241D4874" w:rsidR="00F07FD9" w:rsidRPr="00F07FD9" w:rsidRDefault="00F07FD9" w:rsidP="00E043B7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13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 xml:space="preserve">краситель, краска </w:t>
      </w:r>
      <w:r w:rsidRPr="00E043B7">
        <w:rPr>
          <w:rFonts w:ascii="Arial" w:hAnsi="Arial" w:cs="Arial"/>
          <w:bCs/>
        </w:rPr>
        <w:t>(</w:t>
      </w:r>
      <w:proofErr w:type="spellStart"/>
      <w:r w:rsidRPr="00E043B7">
        <w:rPr>
          <w:rFonts w:ascii="Arial" w:hAnsi="Arial" w:cs="Arial"/>
          <w:bCs/>
        </w:rPr>
        <w:t>stain</w:t>
      </w:r>
      <w:proofErr w:type="spellEnd"/>
      <w:r w:rsidRPr="00E043B7">
        <w:rPr>
          <w:rFonts w:ascii="Arial" w:hAnsi="Arial" w:cs="Arial"/>
          <w:bCs/>
        </w:rPr>
        <w:t>)</w:t>
      </w:r>
      <w:r w:rsidR="00E043B7" w:rsidRPr="00E043B7">
        <w:rPr>
          <w:rFonts w:ascii="Arial" w:hAnsi="Arial" w:cs="Arial"/>
          <w:bCs/>
        </w:rPr>
        <w:t xml:space="preserve">: </w:t>
      </w:r>
      <w:r w:rsidRPr="00F07FD9">
        <w:rPr>
          <w:rFonts w:ascii="Arial" w:hAnsi="Arial" w:cs="Arial"/>
          <w:bCs/>
        </w:rPr>
        <w:t>Раствор одного или нескольких красящих веществ в определенных концентрациях в определенном растворителе, используемый для окрашивания.</w:t>
      </w:r>
      <w:r w:rsidRPr="00F07FD9">
        <w:rPr>
          <w:rFonts w:ascii="Arial" w:hAnsi="Arial" w:cs="Arial"/>
          <w:bCs/>
        </w:rPr>
        <w:br/>
        <w:t>Примечание 1: Краска может быть приготовлена прямым растворением красящего вещества в растворителе или разведения готового основного раствора подходящими агентами.</w:t>
      </w:r>
    </w:p>
    <w:p w14:paraId="4FB8BA41" w14:textId="616BCEF0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</w:t>
      </w:r>
      <w:r w:rsidR="00E043B7">
        <w:rPr>
          <w:rFonts w:ascii="Arial" w:hAnsi="Arial" w:cs="Arial"/>
          <w:b/>
          <w:bCs/>
        </w:rPr>
        <w:t>.</w:t>
      </w:r>
      <w:r w:rsidRPr="00F07FD9">
        <w:rPr>
          <w:rFonts w:ascii="Arial" w:hAnsi="Arial" w:cs="Arial"/>
          <w:b/>
          <w:bCs/>
        </w:rPr>
        <w:t>14</w:t>
      </w:r>
      <w:r w:rsidR="00E043B7">
        <w:rPr>
          <w:rFonts w:ascii="Arial" w:hAnsi="Arial" w:cs="Arial"/>
          <w:b/>
          <w:bCs/>
        </w:rPr>
        <w:t xml:space="preserve"> и</w:t>
      </w:r>
      <w:r w:rsidRPr="00F07FD9">
        <w:rPr>
          <w:rFonts w:ascii="Arial" w:hAnsi="Arial" w:cs="Arial"/>
          <w:b/>
          <w:bCs/>
        </w:rPr>
        <w:t>сходный раствор краси</w:t>
      </w:r>
      <w:bookmarkStart w:id="2" w:name="_GoBack"/>
      <w:bookmarkEnd w:id="2"/>
      <w:r w:rsidRPr="00F07FD9">
        <w:rPr>
          <w:rFonts w:ascii="Arial" w:hAnsi="Arial" w:cs="Arial"/>
          <w:b/>
          <w:bCs/>
        </w:rPr>
        <w:t xml:space="preserve">теля </w:t>
      </w:r>
      <w:r w:rsidRPr="00F07FD9">
        <w:rPr>
          <w:rFonts w:ascii="Arial" w:hAnsi="Arial" w:cs="Arial"/>
          <w:b/>
        </w:rPr>
        <w:t xml:space="preserve">основной/готовый раствор красителя </w:t>
      </w:r>
      <w:r w:rsidRPr="00E043B7">
        <w:rPr>
          <w:rFonts w:ascii="Arial" w:hAnsi="Arial" w:cs="Arial"/>
        </w:rPr>
        <w:t>(</w:t>
      </w:r>
      <w:proofErr w:type="spellStart"/>
      <w:r w:rsidRPr="00E043B7">
        <w:rPr>
          <w:rFonts w:ascii="Arial" w:hAnsi="Arial" w:cs="Arial"/>
          <w:bCs/>
        </w:rPr>
        <w:t>stock</w:t>
      </w:r>
      <w:proofErr w:type="spellEnd"/>
      <w:r w:rsidRPr="00E043B7">
        <w:rPr>
          <w:rFonts w:ascii="Arial" w:hAnsi="Arial" w:cs="Arial"/>
          <w:bCs/>
        </w:rPr>
        <w:t xml:space="preserve"> </w:t>
      </w:r>
      <w:proofErr w:type="spellStart"/>
      <w:r w:rsidRPr="00E043B7">
        <w:rPr>
          <w:rFonts w:ascii="Arial" w:hAnsi="Arial" w:cs="Arial"/>
          <w:bCs/>
        </w:rPr>
        <w:t>solution</w:t>
      </w:r>
      <w:proofErr w:type="spellEnd"/>
      <w:r w:rsidRPr="00E043B7">
        <w:rPr>
          <w:rFonts w:ascii="Arial" w:hAnsi="Arial" w:cs="Arial"/>
          <w:bCs/>
        </w:rPr>
        <w:t xml:space="preserve"> </w:t>
      </w:r>
      <w:proofErr w:type="spellStart"/>
      <w:r w:rsidRPr="00E043B7">
        <w:rPr>
          <w:rFonts w:ascii="Arial" w:hAnsi="Arial" w:cs="Arial"/>
          <w:bCs/>
        </w:rPr>
        <w:t>of</w:t>
      </w:r>
      <w:proofErr w:type="spellEnd"/>
      <w:r w:rsidRPr="00E043B7">
        <w:rPr>
          <w:rFonts w:ascii="Arial" w:hAnsi="Arial" w:cs="Arial"/>
          <w:bCs/>
        </w:rPr>
        <w:t xml:space="preserve"> </w:t>
      </w:r>
      <w:proofErr w:type="spellStart"/>
      <w:r w:rsidRPr="00E043B7">
        <w:rPr>
          <w:rFonts w:ascii="Arial" w:hAnsi="Arial" w:cs="Arial"/>
          <w:bCs/>
        </w:rPr>
        <w:t>stain</w:t>
      </w:r>
      <w:proofErr w:type="spellEnd"/>
      <w:r w:rsidRPr="00E043B7">
        <w:rPr>
          <w:rFonts w:ascii="Arial" w:hAnsi="Arial" w:cs="Arial"/>
        </w:rPr>
        <w:t>)</w:t>
      </w:r>
      <w:r w:rsidR="00E043B7" w:rsidRPr="00E043B7">
        <w:rPr>
          <w:rFonts w:ascii="Arial" w:hAnsi="Arial" w:cs="Arial"/>
        </w:rPr>
        <w:t>:</w:t>
      </w:r>
      <w:r w:rsidR="00E043B7">
        <w:rPr>
          <w:rFonts w:ascii="Arial" w:hAnsi="Arial" w:cs="Arial"/>
        </w:rPr>
        <w:t xml:space="preserve"> О</w:t>
      </w:r>
      <w:r w:rsidRPr="00F07FD9">
        <w:rPr>
          <w:rFonts w:ascii="Arial" w:hAnsi="Arial" w:cs="Arial"/>
        </w:rPr>
        <w:t>сновной раствор красителя (</w:t>
      </w:r>
      <w:proofErr w:type="spellStart"/>
      <w:r w:rsidRPr="00F07FD9">
        <w:rPr>
          <w:rFonts w:ascii="Arial" w:hAnsi="Arial" w:cs="Arial"/>
        </w:rPr>
        <w:t>stock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solution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of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stain</w:t>
      </w:r>
      <w:proofErr w:type="spellEnd"/>
      <w:r w:rsidRPr="00F07FD9">
        <w:rPr>
          <w:rFonts w:ascii="Arial" w:hAnsi="Arial" w:cs="Arial"/>
        </w:rPr>
        <w:t>): Стабильный определенный раствор одного или нескольких красящих веществ в более высокой концентрации, чем используемая при окраске.</w:t>
      </w:r>
    </w:p>
    <w:p w14:paraId="0C7234C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Примечание - Стабильность означает постоянство свойств красящего вещества даже в присутствии других красящих веществ.</w:t>
      </w:r>
    </w:p>
    <w:p w14:paraId="7B9250BA" w14:textId="060DE5DF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3.15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  <w:b/>
          <w:bCs/>
        </w:rPr>
        <w:t>зонд нуклеиновой кислоты</w:t>
      </w:r>
      <w:r w:rsidR="00E043B7">
        <w:rPr>
          <w:rFonts w:ascii="Arial" w:hAnsi="Arial" w:cs="Arial"/>
          <w:b/>
          <w:bCs/>
        </w:rPr>
        <w:t xml:space="preserve"> </w:t>
      </w:r>
      <w:r w:rsidRPr="00F07FD9">
        <w:rPr>
          <w:rFonts w:ascii="Arial" w:hAnsi="Arial" w:cs="Arial"/>
        </w:rPr>
        <w:t xml:space="preserve">одно- или </w:t>
      </w:r>
      <w:proofErr w:type="spellStart"/>
      <w:r w:rsidRPr="00F07FD9">
        <w:rPr>
          <w:rFonts w:ascii="Arial" w:hAnsi="Arial" w:cs="Arial"/>
        </w:rPr>
        <w:t>двухцепочечной</w:t>
      </w:r>
      <w:proofErr w:type="spellEnd"/>
      <w:r w:rsidRPr="00F07FD9">
        <w:rPr>
          <w:rFonts w:ascii="Arial" w:hAnsi="Arial" w:cs="Arial"/>
        </w:rPr>
        <w:t xml:space="preserve"> </w:t>
      </w:r>
      <w:proofErr w:type="spellStart"/>
      <w:r w:rsidRPr="00F07FD9">
        <w:rPr>
          <w:rFonts w:ascii="Arial" w:hAnsi="Arial" w:cs="Arial"/>
        </w:rPr>
        <w:t>олигонуклеотид</w:t>
      </w:r>
      <w:proofErr w:type="spellEnd"/>
      <w:r w:rsidRPr="00F07FD9">
        <w:rPr>
          <w:rFonts w:ascii="Arial" w:hAnsi="Arial" w:cs="Arial"/>
        </w:rPr>
        <w:t xml:space="preserve"> или </w:t>
      </w:r>
      <w:proofErr w:type="spellStart"/>
      <w:r w:rsidRPr="00F07FD9">
        <w:rPr>
          <w:rFonts w:ascii="Arial" w:hAnsi="Arial" w:cs="Arial"/>
        </w:rPr>
        <w:t>полинуклеотид</w:t>
      </w:r>
      <w:proofErr w:type="spellEnd"/>
      <w:r w:rsidRPr="00F07FD9">
        <w:rPr>
          <w:rFonts w:ascii="Arial" w:hAnsi="Arial" w:cs="Arial"/>
        </w:rPr>
        <w:t>, определенной длины, комплементарный специфическим последовательностям нуклеотидов в нуклеиновых кислотах</w:t>
      </w:r>
    </w:p>
    <w:p w14:paraId="450B70E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2F6532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lastRenderedPageBreak/>
        <w:t xml:space="preserve">      4 Требования к информации, предоставляемой изготовителем </w:t>
      </w:r>
    </w:p>
    <w:p w14:paraId="1EE21E0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4.1</w:t>
      </w:r>
    </w:p>
    <w:p w14:paraId="63A7826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Общие требования</w:t>
      </w:r>
    </w:p>
    <w:p w14:paraId="2C41C324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4.1.1</w:t>
      </w:r>
    </w:p>
    <w:p w14:paraId="71E8183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Сеть поставщиков</w:t>
      </w:r>
    </w:p>
    <w:p w14:paraId="6FF6C60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Cs/>
        </w:rPr>
      </w:pPr>
      <w:r w:rsidRPr="00F07FD9">
        <w:rPr>
          <w:rFonts w:ascii="Arial" w:hAnsi="Arial" w:cs="Arial"/>
          <w:bCs/>
        </w:rPr>
        <w:t xml:space="preserve">Когда изготовитель использует материалы, от поставщика, то он обязан удостовериться в том, что </w:t>
      </w:r>
      <w:proofErr w:type="gramStart"/>
      <w:r w:rsidRPr="00F07FD9">
        <w:rPr>
          <w:rFonts w:ascii="Arial" w:hAnsi="Arial" w:cs="Arial"/>
          <w:bCs/>
        </w:rPr>
        <w:t>поставщик  удовлетворяет</w:t>
      </w:r>
      <w:proofErr w:type="gramEnd"/>
      <w:r w:rsidRPr="00F07FD9">
        <w:rPr>
          <w:rFonts w:ascii="Arial" w:hAnsi="Arial" w:cs="Arial"/>
          <w:bCs/>
        </w:rPr>
        <w:t>/соответствует требованиям систем обеспечения качества, описанными в стандартах ISO 9001 и ISO 13485</w:t>
      </w:r>
    </w:p>
    <w:p w14:paraId="6918141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4.1.2</w:t>
      </w:r>
    </w:p>
    <w:p w14:paraId="5BC6D76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Предупреждения и предосторожности</w:t>
      </w:r>
    </w:p>
    <w:p w14:paraId="76431EC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Cs/>
        </w:rPr>
      </w:pPr>
      <w:r w:rsidRPr="00F07FD9">
        <w:rPr>
          <w:rFonts w:ascii="Arial" w:hAnsi="Arial" w:cs="Arial"/>
          <w:bCs/>
        </w:rPr>
        <w:t>Изготовитель реагентов, используемых для окрашивания в биологии, должен предоставить информацию относительно предупреждений и предосторожностей в соответствии со стандартами ISO 18113-1 и ISO 18113-2.</w:t>
      </w:r>
    </w:p>
    <w:p w14:paraId="07FFA7C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4.1.3</w:t>
      </w:r>
    </w:p>
    <w:p w14:paraId="75D388A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Формат информации, предоставляемой изготовителем</w:t>
      </w:r>
    </w:p>
    <w:p w14:paraId="4F2D697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Cs/>
        </w:rPr>
      </w:pPr>
      <w:r w:rsidRPr="00F07FD9">
        <w:rPr>
          <w:rFonts w:ascii="Arial" w:hAnsi="Arial" w:cs="Arial"/>
          <w:bCs/>
        </w:rPr>
        <w:t xml:space="preserve">Формат информации, предоставляемой изготовителем вместе с реагентами, используемыми для окрашивания в биологии, должен соответствовать </w:t>
      </w:r>
      <w:proofErr w:type="gramStart"/>
      <w:r w:rsidRPr="00F07FD9">
        <w:rPr>
          <w:rFonts w:ascii="Arial" w:hAnsi="Arial" w:cs="Arial"/>
          <w:bCs/>
        </w:rPr>
        <w:t>стандартам  ISO</w:t>
      </w:r>
      <w:proofErr w:type="gramEnd"/>
      <w:r w:rsidRPr="00F07FD9">
        <w:rPr>
          <w:rFonts w:ascii="Arial" w:hAnsi="Arial" w:cs="Arial"/>
          <w:bCs/>
        </w:rPr>
        <w:t xml:space="preserve"> 80000-1 и ISO 80000-9. Кроме того, в соответствующих случаях должны соблюдаться требования, указанные в пунктах 4.1.4, 4.1.5 и 4.1.6 в отношении различных реагентов, используемых для окрашивания в биологии.</w:t>
      </w:r>
    </w:p>
    <w:p w14:paraId="1C33160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EE1D02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7FC5E4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4.1.4 Информация, предоставляемая изготовителем с реагентами, используемыми для окрашивания в биологии</w:t>
      </w:r>
    </w:p>
    <w:p w14:paraId="57B9EDC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12E50F7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 xml:space="preserve">Информация, предоставляемая изготовителем с реагентами, используемыми для окрашивания в биологии, должна соответствовать </w:t>
      </w:r>
      <w:r w:rsidRPr="00F07FD9">
        <w:rPr>
          <w:rFonts w:ascii="Arial" w:hAnsi="Arial" w:cs="Arial"/>
          <w:lang w:val="en-US"/>
        </w:rPr>
        <w:t>ISO</w:t>
      </w:r>
      <w:r w:rsidRPr="00F07FD9">
        <w:rPr>
          <w:rFonts w:ascii="Arial" w:hAnsi="Arial" w:cs="Arial"/>
        </w:rPr>
        <w:t xml:space="preserve"> 80000-1, </w:t>
      </w:r>
      <w:r w:rsidRPr="00F07FD9">
        <w:rPr>
          <w:rFonts w:ascii="Arial" w:hAnsi="Arial" w:cs="Arial"/>
          <w:lang w:val="en-US"/>
        </w:rPr>
        <w:t>ISO</w:t>
      </w:r>
      <w:r w:rsidRPr="00F07FD9">
        <w:rPr>
          <w:rFonts w:ascii="Arial" w:hAnsi="Arial" w:cs="Arial"/>
        </w:rPr>
        <w:t xml:space="preserve"> 80000-9, </w:t>
      </w:r>
      <w:r w:rsidRPr="00F07FD9">
        <w:rPr>
          <w:rFonts w:ascii="Arial" w:hAnsi="Arial" w:cs="Arial"/>
          <w:lang w:val="en-US"/>
        </w:rPr>
        <w:t>ISO</w:t>
      </w:r>
      <w:r w:rsidRPr="00F07FD9">
        <w:rPr>
          <w:rFonts w:ascii="Arial" w:hAnsi="Arial" w:cs="Arial"/>
        </w:rPr>
        <w:t xml:space="preserve"> 18113-1 и </w:t>
      </w:r>
      <w:r w:rsidRPr="00F07FD9">
        <w:rPr>
          <w:rFonts w:ascii="Arial" w:hAnsi="Arial" w:cs="Arial"/>
          <w:lang w:val="en-US"/>
        </w:rPr>
        <w:t>ISO</w:t>
      </w:r>
      <w:r w:rsidRPr="00F07FD9">
        <w:rPr>
          <w:rFonts w:ascii="Arial" w:hAnsi="Arial" w:cs="Arial"/>
        </w:rPr>
        <w:t xml:space="preserve"> 18113-2Кроме того, если это применимо, требования, установленные в 4.1.2, 4.1.3 и 4.1.4, должны быть применены к различным реагентам, используемым для окрашивания в биологии.</w:t>
      </w:r>
    </w:p>
    <w:p w14:paraId="789020D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C48268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4.1.5 Наименование продукта</w:t>
      </w:r>
    </w:p>
    <w:p w14:paraId="06F9F36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DFBE719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Наименование продукта должно включать в себя регистрационный номер в CAS и </w:t>
      </w:r>
      <w:proofErr w:type="spellStart"/>
      <w:r w:rsidRPr="00F07FD9">
        <w:rPr>
          <w:rFonts w:ascii="Arial" w:hAnsi="Arial" w:cs="Arial"/>
        </w:rPr>
        <w:t>и</w:t>
      </w:r>
      <w:proofErr w:type="spellEnd"/>
      <w:r w:rsidRPr="00F07FD9">
        <w:rPr>
          <w:rFonts w:ascii="Arial" w:hAnsi="Arial" w:cs="Arial"/>
        </w:rPr>
        <w:t xml:space="preserve"> номер индекса красителя, если это применимо.</w:t>
      </w:r>
    </w:p>
    <w:p w14:paraId="03DD8FC4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5E0F1F9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Примечание 1 - Регистрационные номера в CAS являются регистрационными номерами в Химической справочной службе (CAS). Они представляют собой числовые кодовые номера веществ, получивших индекс в Химической справочной службе приписанные химическим веществам.</w:t>
      </w:r>
    </w:p>
    <w:p w14:paraId="01AFB7E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D2EAF3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Примечание 2 - Индекс красок дает 5-значный номер, номер C.I. и специально составленное наименование большинства красящих веществ.</w:t>
      </w:r>
    </w:p>
    <w:p w14:paraId="1305E2A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3D5C8B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4.1.6 Описание реагента</w:t>
      </w:r>
    </w:p>
    <w:p w14:paraId="1B81BAF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AEF8A0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Описание реагента должно включать в себя соответствующие физико-химические данные, сопровождаемые сведениями, относящимися к каждой партии. Данные должны содержать, по крайней мере, следующую информацию:</w:t>
      </w:r>
    </w:p>
    <w:p w14:paraId="328FDE2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44A584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a) молекулярную формулу, включая </w:t>
      </w:r>
      <w:proofErr w:type="spellStart"/>
      <w:r w:rsidRPr="00F07FD9">
        <w:rPr>
          <w:rFonts w:ascii="Arial" w:hAnsi="Arial" w:cs="Arial"/>
        </w:rPr>
        <w:t>противоион</w:t>
      </w:r>
      <w:proofErr w:type="spellEnd"/>
      <w:r w:rsidRPr="00F07FD9">
        <w:rPr>
          <w:rFonts w:ascii="Arial" w:hAnsi="Arial" w:cs="Arial"/>
        </w:rPr>
        <w:t>;</w:t>
      </w:r>
    </w:p>
    <w:p w14:paraId="432A95E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3C4C80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 xml:space="preserve">b) молярную массу (г/моль) точно обозначенную, с включением </w:t>
      </w:r>
      <w:proofErr w:type="spellStart"/>
      <w:r w:rsidRPr="00F07FD9">
        <w:rPr>
          <w:rFonts w:ascii="Arial" w:hAnsi="Arial" w:cs="Arial"/>
        </w:rPr>
        <w:t>противоиона</w:t>
      </w:r>
      <w:proofErr w:type="spellEnd"/>
      <w:r w:rsidRPr="00F07FD9">
        <w:rPr>
          <w:rFonts w:ascii="Arial" w:hAnsi="Arial" w:cs="Arial"/>
        </w:rPr>
        <w:t xml:space="preserve"> или без него;</w:t>
      </w:r>
    </w:p>
    <w:p w14:paraId="3F39C47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263253C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c) допускаемые пределы интерферирующих веществ;</w:t>
      </w:r>
    </w:p>
    <w:p w14:paraId="73C5F27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BF4411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d</w:t>
      </w:r>
      <w:r w:rsidRPr="00F07FD9">
        <w:rPr>
          <w:rFonts w:ascii="Arial" w:hAnsi="Arial" w:cs="Arial"/>
        </w:rPr>
        <w:t>) обслуживание и хранение.</w:t>
      </w:r>
    </w:p>
    <w:p w14:paraId="3470B75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33644B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Для окрашенных органических соединений данные должны содержать:</w:t>
      </w:r>
    </w:p>
    <w:p w14:paraId="33F8197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FF4FDE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e</w:t>
      </w:r>
      <w:r w:rsidRPr="00F07FD9">
        <w:rPr>
          <w:rFonts w:ascii="Arial" w:hAnsi="Arial" w:cs="Arial"/>
        </w:rPr>
        <w:t>) молярную абсорбцию (вместо этого может быть приведено содержание молекулы чистого красящего вещества, но не содержание общего красящего вещества);</w:t>
      </w:r>
    </w:p>
    <w:p w14:paraId="04BCAE4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576B834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f) длина волны или число волн при максимальной абсорбции;</w:t>
      </w:r>
    </w:p>
    <w:p w14:paraId="468577A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94B6C6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g</w:t>
      </w:r>
      <w:r w:rsidRPr="00F07FD9">
        <w:rPr>
          <w:rFonts w:ascii="Arial" w:hAnsi="Arial" w:cs="Arial"/>
        </w:rPr>
        <w:t>) данные тонкослойной хроматографии, высокопроизводительной жидкостной хроматографии или высокопроизводительной тонкослойной хроматографии.</w:t>
      </w:r>
    </w:p>
    <w:p w14:paraId="2D8A6A2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216757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4.1.7 Предназначенное применение</w:t>
      </w:r>
    </w:p>
    <w:p w14:paraId="22A52B4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579FC7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Должно быть приведено описание, содержащее руководство по окрашиванию в биологии и количественные и качественные процедуры (если это применимо). Информация должна включать сведения относительно следующего: </w:t>
      </w:r>
    </w:p>
    <w:p w14:paraId="23D81C0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а) типе(типах) биологического материала и обращении с ним и обработке перед окрашиванием;</w:t>
      </w:r>
    </w:p>
    <w:p w14:paraId="34B72EF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 xml:space="preserve"> Примечание 1 информацию о типе биологического материала и его обращении и обработке можно найти в </w:t>
      </w:r>
      <w:proofErr w:type="gramStart"/>
      <w:r w:rsidRPr="00F07FD9">
        <w:rPr>
          <w:rFonts w:ascii="Arial" w:hAnsi="Arial" w:cs="Arial"/>
        </w:rPr>
        <w:t>справочнике.[</w:t>
      </w:r>
      <w:proofErr w:type="gramEnd"/>
      <w:r w:rsidRPr="00F07FD9">
        <w:rPr>
          <w:rFonts w:ascii="Arial" w:hAnsi="Arial" w:cs="Arial"/>
        </w:rPr>
        <w:t xml:space="preserve">15] </w:t>
      </w:r>
    </w:p>
    <w:p w14:paraId="7291F3C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пример:</w:t>
      </w:r>
    </w:p>
    <w:p w14:paraId="6441F3A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- возможно ли использовать образцы клеток или </w:t>
      </w:r>
      <w:proofErr w:type="gramStart"/>
      <w:r w:rsidRPr="00F07FD9">
        <w:rPr>
          <w:rFonts w:ascii="Arial" w:hAnsi="Arial" w:cs="Arial"/>
        </w:rPr>
        <w:t>тканей</w:t>
      </w:r>
      <w:proofErr w:type="gramEnd"/>
      <w:r w:rsidRPr="00F07FD9">
        <w:rPr>
          <w:rFonts w:ascii="Arial" w:hAnsi="Arial" w:cs="Arial"/>
        </w:rPr>
        <w:t xml:space="preserve"> или и то, и другое;</w:t>
      </w:r>
    </w:p>
    <w:p w14:paraId="512D5044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- возможно ли использовать замороженный или химически фиксированный материал или и то, и другое; </w:t>
      </w:r>
    </w:p>
    <w:p w14:paraId="526D318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- процедура обработки тканей; </w:t>
      </w:r>
    </w:p>
    <w:p w14:paraId="4212907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- какая закрепляющая среда может быть применена </w:t>
      </w:r>
    </w:p>
    <w:p w14:paraId="5D3CFF7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820869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Примечание 2 В </w:t>
      </w:r>
      <w:proofErr w:type="gramStart"/>
      <w:r w:rsidRPr="00F07FD9">
        <w:rPr>
          <w:rFonts w:ascii="Arial" w:hAnsi="Arial" w:cs="Arial"/>
        </w:rPr>
        <w:t>ссылке[</w:t>
      </w:r>
      <w:proofErr w:type="gramEnd"/>
      <w:r w:rsidRPr="00F07FD9">
        <w:rPr>
          <w:rFonts w:ascii="Arial" w:hAnsi="Arial" w:cs="Arial"/>
        </w:rPr>
        <w:t xml:space="preserve">15] содержатся процедуры использования во время испытания красящего вещества, красителя, хромогенного реагента, </w:t>
      </w:r>
      <w:proofErr w:type="spellStart"/>
      <w:r w:rsidRPr="00F07FD9">
        <w:rPr>
          <w:rFonts w:ascii="Arial" w:hAnsi="Arial" w:cs="Arial"/>
        </w:rPr>
        <w:t>флюорохрома</w:t>
      </w:r>
      <w:proofErr w:type="spellEnd"/>
      <w:r w:rsidRPr="00F07FD9">
        <w:rPr>
          <w:rFonts w:ascii="Arial" w:hAnsi="Arial" w:cs="Arial"/>
        </w:rPr>
        <w:t>, антитела и зонда нуклеиновой кислоты, используемых для окрашивания в биологии.</w:t>
      </w:r>
    </w:p>
    <w:p w14:paraId="62D72D7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73F7D7F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b) детали соответствующей методики реакции, использованной изготовителем для исследования реактивности красящего вещества, краски, хромогенного реактива, </w:t>
      </w:r>
      <w:proofErr w:type="spellStart"/>
      <w:r w:rsidRPr="00F07FD9">
        <w:rPr>
          <w:rFonts w:ascii="Arial" w:hAnsi="Arial" w:cs="Arial"/>
        </w:rPr>
        <w:t>флюорохрома</w:t>
      </w:r>
      <w:proofErr w:type="spellEnd"/>
      <w:r w:rsidRPr="00F07FD9">
        <w:rPr>
          <w:rFonts w:ascii="Arial" w:hAnsi="Arial" w:cs="Arial"/>
        </w:rPr>
        <w:t xml:space="preserve">, антитела, зонда нуклеиновой кислоты или </w:t>
      </w:r>
      <w:proofErr w:type="spellStart"/>
      <w:r w:rsidRPr="00F07FD9">
        <w:rPr>
          <w:rFonts w:ascii="Arial" w:hAnsi="Arial" w:cs="Arial"/>
        </w:rPr>
        <w:t>лектина</w:t>
      </w:r>
      <w:proofErr w:type="spellEnd"/>
      <w:r w:rsidRPr="00F07FD9">
        <w:rPr>
          <w:rFonts w:ascii="Arial" w:hAnsi="Arial" w:cs="Arial"/>
        </w:rPr>
        <w:t>, применяемых для окрашивания в биологии;</w:t>
      </w:r>
    </w:p>
    <w:p w14:paraId="0624FF3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4609F33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c) результат (результаты), ожидаемые при методике реакции на предполагаемом типе (типах) материала при способе, намеченном изготовителем;</w:t>
      </w:r>
    </w:p>
    <w:p w14:paraId="19C851C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Примеры \ См А.2 и А.3.</w:t>
      </w:r>
    </w:p>
    <w:p w14:paraId="34F6088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d) замечания о подходящем положительном или отрицательном контроле ткани и об интерпретации результата (результатов);</w:t>
      </w:r>
    </w:p>
    <w:p w14:paraId="5DB0DBB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4EA8ED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e) ссылки на опубликованные результаты, полученные при использовании продукта способом, предлагаемым изготовителем.</w:t>
      </w:r>
    </w:p>
    <w:p w14:paraId="1576BC4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720BD8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  <w:b/>
          <w:bCs/>
        </w:rPr>
      </w:pPr>
      <w:r w:rsidRPr="00F07FD9">
        <w:rPr>
          <w:rFonts w:ascii="Arial" w:hAnsi="Arial" w:cs="Arial"/>
          <w:b/>
          <w:bCs/>
        </w:rPr>
        <w:t>4.2 Дополнительные требования к реагентам специфических видов</w:t>
      </w:r>
    </w:p>
    <w:p w14:paraId="0E142C4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6F27A47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 xml:space="preserve">4.2.1 </w:t>
      </w:r>
      <w:proofErr w:type="spellStart"/>
      <w:r w:rsidRPr="00F07FD9">
        <w:rPr>
          <w:rFonts w:ascii="Arial" w:hAnsi="Arial" w:cs="Arial"/>
          <w:b/>
          <w:bCs/>
        </w:rPr>
        <w:t>Флюорохромы</w:t>
      </w:r>
      <w:proofErr w:type="spellEnd"/>
    </w:p>
    <w:p w14:paraId="0F49C645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1C47FBB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Независимо от типа применения, </w:t>
      </w:r>
      <w:proofErr w:type="spellStart"/>
      <w:r w:rsidRPr="00F07FD9">
        <w:rPr>
          <w:rFonts w:ascii="Arial" w:hAnsi="Arial" w:cs="Arial"/>
        </w:rPr>
        <w:t>флюорохромы</w:t>
      </w:r>
      <w:proofErr w:type="spellEnd"/>
      <w:r w:rsidRPr="00F07FD9">
        <w:rPr>
          <w:rFonts w:ascii="Arial" w:hAnsi="Arial" w:cs="Arial"/>
        </w:rPr>
        <w:t>, предлагаемые для окрашивания в биологии, должны сопровождаться следующей информацией:</w:t>
      </w:r>
    </w:p>
    <w:p w14:paraId="108F78B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6B17B06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а) избирательность, например, описание мишени (мишеней), которые могут быть продемонстрированы, с использованием специфических условий;</w:t>
      </w:r>
    </w:p>
    <w:p w14:paraId="06D7D6D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21597AD4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b</w:t>
      </w:r>
      <w:r w:rsidRPr="00F07FD9">
        <w:rPr>
          <w:rFonts w:ascii="Arial" w:hAnsi="Arial" w:cs="Arial"/>
        </w:rPr>
        <w:t>) длины волн света возбуждения и испускания;</w:t>
      </w:r>
    </w:p>
    <w:p w14:paraId="00C9DB8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AF6981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с) для </w:t>
      </w:r>
      <w:proofErr w:type="spellStart"/>
      <w:r w:rsidRPr="00F07FD9">
        <w:rPr>
          <w:rFonts w:ascii="Arial" w:hAnsi="Arial" w:cs="Arial"/>
        </w:rPr>
        <w:t>флуорохромов</w:t>
      </w:r>
      <w:proofErr w:type="spellEnd"/>
      <w:r w:rsidRPr="00F07FD9">
        <w:rPr>
          <w:rFonts w:ascii="Arial" w:hAnsi="Arial" w:cs="Arial"/>
        </w:rPr>
        <w:t xml:space="preserve">, конъюгированных с антителами, отношение количества вещества </w:t>
      </w:r>
      <w:proofErr w:type="spellStart"/>
      <w:r w:rsidRPr="00F07FD9">
        <w:rPr>
          <w:rFonts w:ascii="Arial" w:hAnsi="Arial" w:cs="Arial"/>
        </w:rPr>
        <w:t>флуорохрома</w:t>
      </w:r>
      <w:proofErr w:type="spellEnd"/>
      <w:r w:rsidRPr="00F07FD9">
        <w:rPr>
          <w:rFonts w:ascii="Arial" w:hAnsi="Arial" w:cs="Arial"/>
        </w:rPr>
        <w:t xml:space="preserve">, конъюгированного к белку (соотношение количества вещества F / P), является существенным для количественных целей. Отношение F / P рассчитывают путем раздельного определения концентраций белка и </w:t>
      </w:r>
      <w:proofErr w:type="spellStart"/>
      <w:r w:rsidRPr="00F07FD9">
        <w:rPr>
          <w:rFonts w:ascii="Arial" w:hAnsi="Arial" w:cs="Arial"/>
        </w:rPr>
        <w:t>флуорохрома</w:t>
      </w:r>
      <w:proofErr w:type="spellEnd"/>
      <w:r w:rsidRPr="00F07FD9">
        <w:rPr>
          <w:rFonts w:ascii="Arial" w:hAnsi="Arial" w:cs="Arial"/>
        </w:rPr>
        <w:t xml:space="preserve"> в количестве вещества в </w:t>
      </w:r>
      <w:proofErr w:type="spellStart"/>
      <w:r w:rsidRPr="00F07FD9">
        <w:rPr>
          <w:rFonts w:ascii="Arial" w:hAnsi="Arial" w:cs="Arial"/>
        </w:rPr>
        <w:t>конъюгате</w:t>
      </w:r>
      <w:proofErr w:type="spellEnd"/>
      <w:r w:rsidRPr="00F07FD9">
        <w:rPr>
          <w:rFonts w:ascii="Arial" w:hAnsi="Arial" w:cs="Arial"/>
        </w:rPr>
        <w:t xml:space="preserve"> измерений поглощения, а затем эти концентрации выражаются в соотношении.</w:t>
      </w:r>
    </w:p>
    <w:p w14:paraId="413574F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AD5C98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4.2.2 Соли металлов</w:t>
      </w:r>
    </w:p>
    <w:p w14:paraId="36A2168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34790B1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В случае, если предлагаются металлсодержащие соединения для применения в поглощающей металл методике при окрашивании в биологии, должна быть приведена следующая дополнительная информация:</w:t>
      </w:r>
    </w:p>
    <w:p w14:paraId="6B8680A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2201B8BF" w14:textId="77777777" w:rsidR="00F07FD9" w:rsidRPr="00F07FD9" w:rsidRDefault="00F07FD9" w:rsidP="00F07FD9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>систематическое наименование;</w:t>
      </w:r>
    </w:p>
    <w:p w14:paraId="3719458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F8D83EA" w14:textId="77777777" w:rsidR="00F07FD9" w:rsidRPr="00F07FD9" w:rsidRDefault="00F07FD9" w:rsidP="00F07FD9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чистота (отсутствие примесей).</w:t>
      </w:r>
    </w:p>
    <w:p w14:paraId="530A9E7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96E421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4.2.3 Антитела</w:t>
      </w:r>
    </w:p>
    <w:p w14:paraId="75EAB77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88DFA4C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Антитела, предлагаемые для окрашивания в биологии, должны сопровождаться следующей информацией:</w:t>
      </w:r>
    </w:p>
    <w:p w14:paraId="09C7FEF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588D1CE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a) описание антигена (</w:t>
      </w:r>
      <w:proofErr w:type="spellStart"/>
      <w:r w:rsidRPr="00F07FD9">
        <w:rPr>
          <w:rFonts w:ascii="Arial" w:hAnsi="Arial" w:cs="Arial"/>
        </w:rPr>
        <w:t>иммуногенного</w:t>
      </w:r>
      <w:proofErr w:type="spellEnd"/>
      <w:r w:rsidRPr="00F07FD9">
        <w:rPr>
          <w:rFonts w:ascii="Arial" w:hAnsi="Arial" w:cs="Arial"/>
        </w:rPr>
        <w:t xml:space="preserve"> вещества), против которого направлено антитело </w:t>
      </w:r>
      <w:proofErr w:type="gramStart"/>
      <w:r w:rsidRPr="00F07FD9">
        <w:rPr>
          <w:rFonts w:ascii="Arial" w:hAnsi="Arial" w:cs="Arial"/>
        </w:rPr>
        <w:t>и</w:t>
      </w:r>
      <w:proofErr w:type="gramEnd"/>
      <w:r w:rsidRPr="00F07FD9">
        <w:rPr>
          <w:rFonts w:ascii="Arial" w:hAnsi="Arial" w:cs="Arial"/>
        </w:rPr>
        <w:t xml:space="preserve"> если антиген определен кластером системы дифференциации - номер CD. Описание должно содержать, если это приемлемо, тип обнаруживаемой макромолекулы, часть которой должна быть обнаружена, клеточная локализация и клетки или ткани, в которых она находится, и любая перекрестная реактивность с другими </w:t>
      </w:r>
      <w:proofErr w:type="spellStart"/>
      <w:r w:rsidRPr="00F07FD9">
        <w:rPr>
          <w:rFonts w:ascii="Arial" w:hAnsi="Arial" w:cs="Arial"/>
        </w:rPr>
        <w:t>эпитопами</w:t>
      </w:r>
      <w:proofErr w:type="spellEnd"/>
      <w:r w:rsidRPr="00F07FD9">
        <w:rPr>
          <w:rFonts w:ascii="Arial" w:hAnsi="Arial" w:cs="Arial"/>
        </w:rPr>
        <w:t>;</w:t>
      </w:r>
    </w:p>
    <w:p w14:paraId="389A9539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1D5B743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b) для </w:t>
      </w:r>
      <w:proofErr w:type="spellStart"/>
      <w:r w:rsidRPr="00F07FD9">
        <w:rPr>
          <w:rFonts w:ascii="Arial" w:hAnsi="Arial" w:cs="Arial"/>
        </w:rPr>
        <w:t>моноклональных</w:t>
      </w:r>
      <w:proofErr w:type="spellEnd"/>
      <w:r w:rsidRPr="00F07FD9">
        <w:rPr>
          <w:rFonts w:ascii="Arial" w:hAnsi="Arial" w:cs="Arial"/>
        </w:rPr>
        <w:t xml:space="preserve"> антител - клон, метод образования (</w:t>
      </w:r>
      <w:proofErr w:type="spellStart"/>
      <w:r w:rsidRPr="00F07FD9">
        <w:rPr>
          <w:rFonts w:ascii="Arial" w:hAnsi="Arial" w:cs="Arial"/>
        </w:rPr>
        <w:t>супернатант</w:t>
      </w:r>
      <w:proofErr w:type="spellEnd"/>
      <w:r w:rsidRPr="00F07FD9">
        <w:rPr>
          <w:rFonts w:ascii="Arial" w:hAnsi="Arial" w:cs="Arial"/>
        </w:rPr>
        <w:t xml:space="preserve"> культуры ткани или асцитическая жидкость), подкласс иммуноглобулина и идентичность легкой цепи;</w:t>
      </w:r>
    </w:p>
    <w:p w14:paraId="58871B6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ПРИМЕЧАНИЕ -  </w:t>
      </w:r>
      <w:proofErr w:type="gramStart"/>
      <w:r w:rsidRPr="00F07FD9">
        <w:rPr>
          <w:rFonts w:ascii="Arial" w:hAnsi="Arial" w:cs="Arial"/>
        </w:rPr>
        <w:t>В</w:t>
      </w:r>
      <w:proofErr w:type="gramEnd"/>
      <w:r w:rsidRPr="00F07FD9">
        <w:rPr>
          <w:rFonts w:ascii="Arial" w:hAnsi="Arial" w:cs="Arial"/>
        </w:rPr>
        <w:t xml:space="preserve"> ссылке [8] содержится обновленная информация о современных </w:t>
      </w:r>
      <w:proofErr w:type="spellStart"/>
      <w:r w:rsidRPr="00F07FD9">
        <w:rPr>
          <w:rFonts w:ascii="Arial" w:hAnsi="Arial" w:cs="Arial"/>
        </w:rPr>
        <w:t>иммуногистохимических</w:t>
      </w:r>
      <w:proofErr w:type="spellEnd"/>
      <w:r w:rsidRPr="00F07FD9">
        <w:rPr>
          <w:rFonts w:ascii="Arial" w:hAnsi="Arial" w:cs="Arial"/>
        </w:rPr>
        <w:t xml:space="preserve"> процедурах.</w:t>
      </w:r>
    </w:p>
    <w:p w14:paraId="5233370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                    </w:t>
      </w:r>
    </w:p>
    <w:p w14:paraId="11D3D880" w14:textId="77777777" w:rsidR="00F07FD9" w:rsidRPr="00F07FD9" w:rsidRDefault="00F07FD9" w:rsidP="00F07FD9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для </w:t>
      </w:r>
      <w:proofErr w:type="spellStart"/>
      <w:r w:rsidRPr="00F07FD9">
        <w:rPr>
          <w:rFonts w:ascii="Arial" w:hAnsi="Arial" w:cs="Arial"/>
        </w:rPr>
        <w:t>поликлональных</w:t>
      </w:r>
      <w:proofErr w:type="spellEnd"/>
      <w:r w:rsidRPr="00F07FD9">
        <w:rPr>
          <w:rFonts w:ascii="Arial" w:hAnsi="Arial" w:cs="Arial"/>
        </w:rPr>
        <w:t xml:space="preserve"> антител - животное-хозяин, и используется ли цельная сыворотка или фракция иммуноглобулина;</w:t>
      </w:r>
    </w:p>
    <w:p w14:paraId="072553C3" w14:textId="77777777" w:rsidR="00F07FD9" w:rsidRPr="00F07FD9" w:rsidRDefault="00F07FD9" w:rsidP="00F07FD9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 xml:space="preserve">описание формы (раствор или </w:t>
      </w:r>
      <w:proofErr w:type="spellStart"/>
      <w:r w:rsidRPr="00F07FD9">
        <w:rPr>
          <w:rFonts w:ascii="Arial" w:hAnsi="Arial" w:cs="Arial"/>
        </w:rPr>
        <w:t>лиофилизированный</w:t>
      </w:r>
      <w:proofErr w:type="spellEnd"/>
      <w:r w:rsidRPr="00F07FD9">
        <w:rPr>
          <w:rFonts w:ascii="Arial" w:hAnsi="Arial" w:cs="Arial"/>
        </w:rPr>
        <w:t xml:space="preserve"> порошок), количество общего белка и специфическое антитело, а для раствора - природа и концентрация растворителя или среды;</w:t>
      </w:r>
    </w:p>
    <w:p w14:paraId="3E0B083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8476F3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е) если применимо, описание любых молекулярных связующих веществ или наполнителей, добавленных к антителу;</w:t>
      </w:r>
    </w:p>
    <w:p w14:paraId="77834CA6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f</w:t>
      </w:r>
      <w:r w:rsidRPr="00F07FD9">
        <w:rPr>
          <w:rFonts w:ascii="Arial" w:hAnsi="Arial" w:cs="Arial"/>
        </w:rPr>
        <w:t>) заявление о чистоте, технике очищения и методах обнаружения примесей (например, Вестерн-</w:t>
      </w:r>
      <w:proofErr w:type="spellStart"/>
      <w:r w:rsidRPr="00F07FD9">
        <w:rPr>
          <w:rFonts w:ascii="Arial" w:hAnsi="Arial" w:cs="Arial"/>
        </w:rPr>
        <w:t>блоттинг</w:t>
      </w:r>
      <w:proofErr w:type="spellEnd"/>
      <w:r w:rsidRPr="00F07FD9">
        <w:rPr>
          <w:rFonts w:ascii="Arial" w:hAnsi="Arial" w:cs="Arial"/>
        </w:rPr>
        <w:t xml:space="preserve">, </w:t>
      </w:r>
      <w:proofErr w:type="spellStart"/>
      <w:r w:rsidRPr="00F07FD9">
        <w:rPr>
          <w:rFonts w:ascii="Arial" w:hAnsi="Arial" w:cs="Arial"/>
        </w:rPr>
        <w:t>иммуногистохимия</w:t>
      </w:r>
      <w:proofErr w:type="spellEnd"/>
      <w:r w:rsidRPr="00F07FD9">
        <w:rPr>
          <w:rFonts w:ascii="Arial" w:hAnsi="Arial" w:cs="Arial"/>
        </w:rPr>
        <w:t>);</w:t>
      </w:r>
    </w:p>
    <w:p w14:paraId="0320862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lang w:val="en-US"/>
        </w:rPr>
        <w:t>g</w:t>
      </w:r>
      <w:r w:rsidRPr="00F07FD9">
        <w:rPr>
          <w:rFonts w:ascii="Arial" w:hAnsi="Arial" w:cs="Arial"/>
        </w:rPr>
        <w:t>) соответствующие ссылки на публикации, посвященные применению антитела.</w:t>
      </w:r>
    </w:p>
    <w:p w14:paraId="11C8283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ПРИМЕР - Примеры процедур, которые могут использоваться изготовителем или конечным пользователем, можно найти в руководстве CLSI I / LA28. [8]</w:t>
      </w:r>
    </w:p>
    <w:p w14:paraId="46BBA4D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27AFBB4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  <w:b/>
          <w:bCs/>
        </w:rPr>
        <w:t>4.2.4 Зонды нуклеиновой кислоты</w:t>
      </w:r>
    </w:p>
    <w:p w14:paraId="1BB141BB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7A3364B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Зонды нуклеиновой кислоты, предлагаемые для окрашивания в биологии, должны сопровождаться следующей информацией:</w:t>
      </w:r>
    </w:p>
    <w:p w14:paraId="20ABD31E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7ACEEB81" w14:textId="77777777" w:rsidR="00F07FD9" w:rsidRPr="00F07FD9" w:rsidRDefault="00F07FD9" w:rsidP="00F07FD9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последовательность оснований и является зонд одно- или двух-спиральным;</w:t>
      </w:r>
    </w:p>
    <w:p w14:paraId="6F2DAA3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45E932CA" w14:textId="77777777" w:rsidR="00F07FD9" w:rsidRPr="00F07FD9" w:rsidRDefault="00F07FD9" w:rsidP="00F07FD9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молярная масса зонда или число оснований и, если приемлемо, число фракций (в процентах) пар оснований гуанин-</w:t>
      </w:r>
      <w:proofErr w:type="spellStart"/>
      <w:r w:rsidRPr="00F07FD9">
        <w:rPr>
          <w:rFonts w:ascii="Arial" w:hAnsi="Arial" w:cs="Arial"/>
        </w:rPr>
        <w:t>цитозин</w:t>
      </w:r>
      <w:proofErr w:type="spellEnd"/>
      <w:r w:rsidRPr="00F07FD9">
        <w:rPr>
          <w:rFonts w:ascii="Arial" w:hAnsi="Arial" w:cs="Arial"/>
        </w:rPr>
        <w:t>;</w:t>
      </w:r>
    </w:p>
    <w:p w14:paraId="1E4E4B9F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CB7DD3E" w14:textId="77777777" w:rsidR="00F07FD9" w:rsidRPr="00F07FD9" w:rsidRDefault="00F07FD9" w:rsidP="00F07FD9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использованный маркер (радиоактивный изотоп или нерадиоактивная молекула), точка прикрепления к зонду (3’ и/или 5’) и доля вещества в процентах меченого зонда;</w:t>
      </w:r>
    </w:p>
    <w:p w14:paraId="74AF5C2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66E3835" w14:textId="77777777" w:rsidR="00F07FD9" w:rsidRPr="00F07FD9" w:rsidRDefault="00F07FD9" w:rsidP="00F07FD9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обнаруживаемая генная мишень (последовательность ДНК или РНК);</w:t>
      </w:r>
    </w:p>
    <w:p w14:paraId="4D6EF10A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3421F7C8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lastRenderedPageBreak/>
        <w:t>e) описание формы (</w:t>
      </w:r>
      <w:proofErr w:type="spellStart"/>
      <w:r w:rsidRPr="00F07FD9">
        <w:rPr>
          <w:rFonts w:ascii="Arial" w:hAnsi="Arial" w:cs="Arial"/>
        </w:rPr>
        <w:t>лиофилизированный</w:t>
      </w:r>
      <w:proofErr w:type="spellEnd"/>
      <w:r w:rsidRPr="00F07FD9">
        <w:rPr>
          <w:rFonts w:ascii="Arial" w:hAnsi="Arial" w:cs="Arial"/>
        </w:rPr>
        <w:t xml:space="preserve"> порошок или раствор) и количество (</w:t>
      </w:r>
      <w:proofErr w:type="spellStart"/>
      <w:r w:rsidRPr="00F07FD9">
        <w:rPr>
          <w:rFonts w:ascii="Arial" w:hAnsi="Arial" w:cs="Arial"/>
        </w:rPr>
        <w:t>пг</w:t>
      </w:r>
      <w:proofErr w:type="spellEnd"/>
      <w:r w:rsidRPr="00F07FD9">
        <w:rPr>
          <w:rFonts w:ascii="Arial" w:hAnsi="Arial" w:cs="Arial"/>
        </w:rPr>
        <w:t xml:space="preserve"> или </w:t>
      </w:r>
      <w:proofErr w:type="spellStart"/>
      <w:r w:rsidRPr="00F07FD9">
        <w:rPr>
          <w:rFonts w:ascii="Arial" w:hAnsi="Arial" w:cs="Arial"/>
        </w:rPr>
        <w:t>пмоль</w:t>
      </w:r>
      <w:proofErr w:type="spellEnd"/>
      <w:r w:rsidRPr="00F07FD9">
        <w:rPr>
          <w:rFonts w:ascii="Arial" w:hAnsi="Arial" w:cs="Arial"/>
        </w:rPr>
        <w:t>) или концентрация (</w:t>
      </w:r>
      <w:proofErr w:type="spellStart"/>
      <w:r w:rsidRPr="00F07FD9">
        <w:rPr>
          <w:rFonts w:ascii="Arial" w:hAnsi="Arial" w:cs="Arial"/>
        </w:rPr>
        <w:t>пг</w:t>
      </w:r>
      <w:proofErr w:type="spellEnd"/>
      <w:r w:rsidRPr="00F07FD9">
        <w:rPr>
          <w:rFonts w:ascii="Arial" w:hAnsi="Arial" w:cs="Arial"/>
        </w:rPr>
        <w:t xml:space="preserve">/мл или </w:t>
      </w:r>
      <w:proofErr w:type="spellStart"/>
      <w:r w:rsidRPr="00F07FD9">
        <w:rPr>
          <w:rFonts w:ascii="Arial" w:hAnsi="Arial" w:cs="Arial"/>
        </w:rPr>
        <w:t>пмоль</w:t>
      </w:r>
      <w:proofErr w:type="spellEnd"/>
      <w:r w:rsidRPr="00F07FD9">
        <w:rPr>
          <w:rFonts w:ascii="Arial" w:hAnsi="Arial" w:cs="Arial"/>
        </w:rPr>
        <w:t>/мл), если применимо, и, в случае раствора, - природа и концентрация растворителя или среды;</w:t>
      </w:r>
    </w:p>
    <w:p w14:paraId="162B83C2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1E6A63A0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  <w:r w:rsidRPr="00F07FD9">
        <w:rPr>
          <w:rFonts w:ascii="Arial" w:hAnsi="Arial" w:cs="Arial"/>
        </w:rPr>
        <w:t>f) заявление о чистоте, методиках очистки и методах обнаружения примесей, например, высокопроизводительная жидкостная хроматография;</w:t>
      </w:r>
    </w:p>
    <w:p w14:paraId="727CA2CD" w14:textId="77777777" w:rsidR="00F07FD9" w:rsidRPr="00F07FD9" w:rsidRDefault="00F07FD9" w:rsidP="00F07FD9">
      <w:pPr>
        <w:spacing w:line="360" w:lineRule="auto"/>
        <w:jc w:val="both"/>
        <w:rPr>
          <w:rFonts w:ascii="Arial" w:hAnsi="Arial" w:cs="Arial"/>
        </w:rPr>
      </w:pPr>
    </w:p>
    <w:p w14:paraId="08235B8A" w14:textId="749482D7" w:rsidR="005773E9" w:rsidRDefault="00F07FD9" w:rsidP="00F07FD9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07FD9">
        <w:rPr>
          <w:rFonts w:ascii="Arial" w:hAnsi="Arial" w:cs="Arial"/>
        </w:rPr>
        <w:t>g) соответствующие ссылки на публикации, касающиеся источников описания последовательности ДНК, существования любых известных патентов и информации по применению зондов нуклеиновой кислоты</w:t>
      </w:r>
      <w:r w:rsidR="006F2309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4F7B7375" w14:textId="77777777" w:rsidR="005773E9" w:rsidRDefault="005773E9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14:paraId="4E091D6E" w14:textId="77777777" w:rsidR="005773E9" w:rsidRDefault="006F2309">
      <w:pPr>
        <w:suppressAutoHyphens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br w:type="page"/>
      </w:r>
    </w:p>
    <w:p w14:paraId="4EBADB34" w14:textId="77777777" w:rsidR="005773E9" w:rsidRDefault="006F2309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3" w:name="_Toc40906284"/>
      <w:r>
        <w:rPr>
          <w:rFonts w:ascii="Arial" w:hAnsi="Arial" w:cs="Arial"/>
          <w:color w:val="auto"/>
        </w:rPr>
        <w:lastRenderedPageBreak/>
        <w:t>Приложение А</w:t>
      </w:r>
      <w:bookmarkEnd w:id="3"/>
    </w:p>
    <w:p w14:paraId="71783659" w14:textId="77777777" w:rsidR="005773E9" w:rsidRDefault="006F2309">
      <w:pPr>
        <w:pStyle w:val="1"/>
        <w:spacing w:before="0"/>
        <w:jc w:val="center"/>
        <w:rPr>
          <w:rFonts w:ascii="Arial" w:hAnsi="Arial" w:cs="Arial"/>
          <w:b w:val="0"/>
          <w:color w:val="auto"/>
        </w:rPr>
      </w:pPr>
      <w:bookmarkStart w:id="4" w:name="_Toc40906285"/>
      <w:r>
        <w:rPr>
          <w:rFonts w:ascii="Arial" w:hAnsi="Arial" w:cs="Arial"/>
          <w:b w:val="0"/>
          <w:color w:val="auto"/>
        </w:rPr>
        <w:t>(</w:t>
      </w:r>
      <w:r w:rsidR="00FE7B62">
        <w:rPr>
          <w:rFonts w:ascii="Arial" w:hAnsi="Arial" w:cs="Arial"/>
          <w:b w:val="0"/>
          <w:color w:val="auto"/>
        </w:rPr>
        <w:t>справочное</w:t>
      </w:r>
      <w:r>
        <w:rPr>
          <w:rFonts w:ascii="Arial" w:hAnsi="Arial" w:cs="Arial"/>
          <w:b w:val="0"/>
          <w:color w:val="auto"/>
        </w:rPr>
        <w:t>)</w:t>
      </w:r>
      <w:bookmarkEnd w:id="4"/>
    </w:p>
    <w:p w14:paraId="7E8BB3F1" w14:textId="2A4D4E36" w:rsidR="005773E9" w:rsidRDefault="00F07FD9" w:rsidP="00F07FD9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ajorEastAsia" w:hAnsi="Arial" w:cs="Arial"/>
          <w:b/>
          <w:bCs/>
          <w:sz w:val="28"/>
          <w:szCs w:val="28"/>
        </w:rPr>
        <w:t>Примеры информации, предоставляемой изготовителем с реагентами, обычно применяемыми в методиках биологического окрашивания</w:t>
      </w:r>
    </w:p>
    <w:p w14:paraId="6348997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А.1 Общие положения</w:t>
      </w:r>
    </w:p>
    <w:p w14:paraId="7334D4C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CD2DE7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Следующая информация представляет собой примеры процедур и не должна рассматриваться как единственный способ процедуры, которая должна быть проведена. Эти процедуры могут быть использованы изготовителем для исследования реактивности красящих веществ и иллюстрируют то, каким образом изготовитель может представить информацию, чтобы соответствовать настоящему стандарту.</w:t>
      </w:r>
    </w:p>
    <w:p w14:paraId="50AE03F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EDA775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А.2 Краситель метиловый зеленый-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Y – Пример 1</w:t>
      </w:r>
    </w:p>
    <w:p w14:paraId="5E220ED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B9F2E3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Информация, предоставленная производителем вместе с красящими веществами, используемыми в этой процедуре для окрашивания в биологии (метиловый зеленый или этиловый зеленый и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Y), </w:t>
      </w:r>
      <w:proofErr w:type="spellStart"/>
      <w:r w:rsidRPr="00F07FD9">
        <w:rPr>
          <w:rFonts w:ascii="Arial" w:eastAsiaTheme="minorHAnsi" w:hAnsi="Arial" w:cs="Arial"/>
          <w:lang w:eastAsia="en-US"/>
        </w:rPr>
        <w:t>перечислеными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ниже:</w:t>
      </w:r>
    </w:p>
    <w:p w14:paraId="04BC8FA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А.2.1 Красящее вещество метиловый зеленый</w:t>
      </w:r>
    </w:p>
    <w:p w14:paraId="50DEEE4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368DF8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А.2.1.1 \ Метил зеленый краситель</w:t>
      </w:r>
    </w:p>
    <w:p w14:paraId="3953486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B0D90E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ВНИМАНИЕ - R \ 36/37/38: Вызывает раздражение глаз, дыхательных путей и кожи; S \ 26: </w:t>
      </w:r>
      <w:proofErr w:type="gramStart"/>
      <w:r w:rsidRPr="00F07FD9">
        <w:rPr>
          <w:rFonts w:ascii="Arial" w:eastAsiaTheme="minorHAnsi" w:hAnsi="Arial" w:cs="Arial"/>
          <w:b/>
          <w:bCs/>
          <w:lang w:eastAsia="en-US"/>
        </w:rPr>
        <w:t>В</w:t>
      </w:r>
      <w:proofErr w:type="gramEnd"/>
      <w:r w:rsidRPr="00F07FD9">
        <w:rPr>
          <w:rFonts w:ascii="Arial" w:eastAsiaTheme="minorHAnsi" w:hAnsi="Arial" w:cs="Arial"/>
          <w:b/>
          <w:bCs/>
          <w:lang w:eastAsia="en-US"/>
        </w:rPr>
        <w:t xml:space="preserve"> случае контакта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b/>
          <w:bCs/>
          <w:lang w:eastAsia="en-US"/>
        </w:rPr>
        <w:t>с глазами, немедленно промыть; S \ 36: Носить соответствующую защитную одежду.</w:t>
      </w:r>
    </w:p>
    <w:p w14:paraId="627BCC1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250C18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F1E377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А.2.1.1.1 идентичность продукта (наименование):</w:t>
      </w:r>
    </w:p>
    <w:p w14:paraId="3542594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D6891A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метиловый зеленый (синонимы: двойной зеленый SF, легкий зеленый);</w:t>
      </w:r>
    </w:p>
    <w:p w14:paraId="3FA778D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6D4E35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- регистрационный номер CAS: 22383-16-0;</w:t>
      </w:r>
    </w:p>
    <w:p w14:paraId="00237D9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C96E28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наименование и номер индекса цвета: основной голубой 20, 42585;</w:t>
      </w:r>
    </w:p>
    <w:p w14:paraId="737D1D7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1E1923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b/>
          <w:lang w:eastAsia="en-US"/>
        </w:rPr>
        <w:t>Состав А2.1.1.</w:t>
      </w:r>
      <w:proofErr w:type="gramStart"/>
      <w:r w:rsidRPr="00F07FD9">
        <w:rPr>
          <w:rFonts w:ascii="Arial" w:eastAsiaTheme="minorHAnsi" w:hAnsi="Arial" w:cs="Arial"/>
          <w:b/>
          <w:lang w:eastAsia="en-US"/>
        </w:rPr>
        <w:t>2</w:t>
      </w:r>
      <w:r w:rsidRPr="00F07FD9">
        <w:rPr>
          <w:rFonts w:ascii="Arial" w:eastAsiaTheme="minorHAnsi" w:hAnsi="Arial" w:cs="Arial"/>
          <w:lang w:eastAsia="en-US"/>
        </w:rPr>
        <w:t xml:space="preserve"> :</w:t>
      </w:r>
      <w:proofErr w:type="gramEnd"/>
    </w:p>
    <w:p w14:paraId="65B406C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675BBBE" w14:textId="63272373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молекулярная формула, включающая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3ED93D0" wp14:editId="71ABB40C">
            <wp:extent cx="1285875" cy="2667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2DB036A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C2C605B" w14:textId="698D42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молярная масса с (или без)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противоиона</w:t>
      </w:r>
      <w:proofErr w:type="spellEnd"/>
      <w:r w:rsidRPr="00F07FD9">
        <w:rPr>
          <w:rFonts w:ascii="Arial" w:eastAsiaTheme="minorHAnsi" w:hAnsi="Arial" w:cs="Arial"/>
          <w:lang w:eastAsia="en-US"/>
        </w:rPr>
        <w:t>: 561,17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C4C5360" wp14:editId="56B49A38">
            <wp:extent cx="161925" cy="2190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(387,56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7276849" wp14:editId="7159C086">
            <wp:extent cx="161925" cy="2190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);</w:t>
      </w:r>
    </w:p>
    <w:p w14:paraId="2D7960C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832E8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массовая доля (содержание) метилового зеленого катиона: 85%, определено с помощью абсорбционной спектрометрии;</w:t>
      </w:r>
    </w:p>
    <w:p w14:paraId="579BCDC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F3206A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допустимые пределы интерферирующих веществ, приведенные как массовые доли:</w:t>
      </w:r>
    </w:p>
    <w:p w14:paraId="0D356FA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609751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1) вода: менее 1%;</w:t>
      </w:r>
    </w:p>
    <w:p w14:paraId="43DD02B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0BEE64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2) неорганические соли: менее 0,1%;</w:t>
      </w:r>
    </w:p>
    <w:p w14:paraId="0694EE9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A90C9B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3) детергенты: не присутствуют;</w:t>
      </w:r>
    </w:p>
    <w:p w14:paraId="3F96CB7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709771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4) окрашенные примеси, включая кристаллы </w:t>
      </w:r>
      <w:proofErr w:type="spellStart"/>
      <w:r w:rsidRPr="00F07FD9">
        <w:rPr>
          <w:rFonts w:ascii="Arial" w:eastAsiaTheme="minorHAnsi" w:hAnsi="Arial" w:cs="Arial"/>
          <w:lang w:eastAsia="en-US"/>
        </w:rPr>
        <w:t>виолета</w:t>
      </w:r>
      <w:proofErr w:type="spellEnd"/>
      <w:r w:rsidRPr="00F07FD9">
        <w:rPr>
          <w:rFonts w:ascii="Arial" w:eastAsiaTheme="minorHAnsi" w:hAnsi="Arial" w:cs="Arial"/>
          <w:lang w:eastAsia="en-US"/>
        </w:rPr>
        <w:t>: не определимы с помощью тонкослойной хроматографии;</w:t>
      </w:r>
    </w:p>
    <w:p w14:paraId="612A90C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9014A4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5) индифферентные соединения: 14% растворимого крахмала;</w:t>
      </w:r>
    </w:p>
    <w:p w14:paraId="018B8F2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1FF098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A.2.1.1.3</w:t>
      </w:r>
    </w:p>
    <w:p w14:paraId="101D7BC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Обращение и хранение</w:t>
      </w:r>
    </w:p>
    <w:p w14:paraId="562155C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 xml:space="preserve">c) длина волны максимальной абсорбции раствора красящего вещества: 633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>;</w:t>
      </w:r>
    </w:p>
    <w:p w14:paraId="57E4BC1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D1171E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d) тонкослойная хроматография: присутствует только один основной компонент, соответствующий метиловому зеленому;</w:t>
      </w:r>
    </w:p>
    <w:p w14:paraId="214CD00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AD4FC6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e) обращение и хранение: стабилен при хранении в тщательно закупоренной коричневой бутылке при комнатной температуре (от 18 °С до 28 °С).</w:t>
      </w:r>
    </w:p>
    <w:p w14:paraId="77E3B1D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52973D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А.2.2 Красящее вещество этиловый зеленый</w:t>
      </w:r>
    </w:p>
    <w:p w14:paraId="524D117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71A4A5E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ВНИМАНИЕ - R \ 36/37/38: Вызывает раздражение глаз, дыхательных путей и кожи; S \ 26: </w:t>
      </w:r>
      <w:proofErr w:type="gramStart"/>
      <w:r w:rsidRPr="00F07FD9">
        <w:rPr>
          <w:rFonts w:ascii="Arial" w:eastAsiaTheme="minorHAnsi" w:hAnsi="Arial" w:cs="Arial"/>
          <w:b/>
          <w:bCs/>
          <w:lang w:eastAsia="en-US"/>
        </w:rPr>
        <w:t>В</w:t>
      </w:r>
      <w:proofErr w:type="gramEnd"/>
      <w:r w:rsidRPr="00F07FD9">
        <w:rPr>
          <w:rFonts w:ascii="Arial" w:eastAsiaTheme="minorHAnsi" w:hAnsi="Arial" w:cs="Arial"/>
          <w:b/>
          <w:bCs/>
          <w:lang w:eastAsia="en-US"/>
        </w:rPr>
        <w:t xml:space="preserve"> случае контакта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b/>
          <w:bCs/>
          <w:lang w:eastAsia="en-US"/>
        </w:rPr>
        <w:t>с глазами, немедленно промыть; S \ 36: Носить соответствующую защитную одежду.</w:t>
      </w:r>
    </w:p>
    <w:p w14:paraId="547E53C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D61F67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2389A3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Информация, относящаяся к красящемуся веществу этиловому зеленому, следующая:</w:t>
      </w:r>
    </w:p>
    <w:p w14:paraId="5080A37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0BFF9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a) идентичность продукта:</w:t>
      </w:r>
    </w:p>
    <w:p w14:paraId="515A5D1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2B3002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1) этиловый зеленый (синоним: метиловый зеленый);</w:t>
      </w:r>
    </w:p>
    <w:p w14:paraId="781A5B4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62C444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2) регистрационный номер CAS: 7114-03-6;</w:t>
      </w:r>
    </w:p>
    <w:p w14:paraId="0B43318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BCFDF9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3) наименование и номер индекса красок: наименование в индексе красок отсутствует, 42590;</w:t>
      </w:r>
    </w:p>
    <w:p w14:paraId="60C050C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CE7EEB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b) состав:</w:t>
      </w:r>
    </w:p>
    <w:p w14:paraId="78BD7EB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B391C5" w14:textId="7A28284B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1) молекулярная формула, включающая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1DD88D44" wp14:editId="3AF8E9A5">
            <wp:extent cx="1190625" cy="2667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3BEBF12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58E7287" w14:textId="0368F2D0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2) молярная масса с (или без)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противоионом</w:t>
      </w:r>
      <w:proofErr w:type="spellEnd"/>
      <w:r w:rsidRPr="00F07FD9">
        <w:rPr>
          <w:rFonts w:ascii="Arial" w:eastAsiaTheme="minorHAnsi" w:hAnsi="Arial" w:cs="Arial"/>
          <w:lang w:eastAsia="en-US"/>
        </w:rPr>
        <w:t>: 575,19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17B02DE4" wp14:editId="30749445">
            <wp:extent cx="161925" cy="2190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(401,58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CDD428B" wp14:editId="54C2369D">
            <wp:extent cx="161925" cy="2190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);</w:t>
      </w:r>
    </w:p>
    <w:p w14:paraId="24CC825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4B0AF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3) массовая доля этилового зеленого катиона: 85%, определена с помощью абсорбционной спектрометрии;</w:t>
      </w:r>
    </w:p>
    <w:p w14:paraId="19560D4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548AF5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4) допустимые пределы интерферирующих веществ, приведенные как массовые доли:</w:t>
      </w:r>
    </w:p>
    <w:p w14:paraId="207B862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DD769E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вода: менее 1%;</w:t>
      </w:r>
    </w:p>
    <w:p w14:paraId="0C07936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9AF666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неорганические соли: менее 0,1%;</w:t>
      </w:r>
    </w:p>
    <w:p w14:paraId="78F88B4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0336E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детергенты: отсутствуют;</w:t>
      </w:r>
    </w:p>
    <w:p w14:paraId="005DD9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B79ECB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окрашенные примеси, включая кристаллы </w:t>
      </w:r>
      <w:proofErr w:type="spellStart"/>
      <w:r w:rsidRPr="00F07FD9">
        <w:rPr>
          <w:rFonts w:ascii="Arial" w:eastAsiaTheme="minorHAnsi" w:hAnsi="Arial" w:cs="Arial"/>
          <w:lang w:eastAsia="en-US"/>
        </w:rPr>
        <w:t>виолета</w:t>
      </w:r>
      <w:proofErr w:type="spellEnd"/>
      <w:r w:rsidRPr="00F07FD9">
        <w:rPr>
          <w:rFonts w:ascii="Arial" w:eastAsiaTheme="minorHAnsi" w:hAnsi="Arial" w:cs="Arial"/>
          <w:lang w:eastAsia="en-US"/>
        </w:rPr>
        <w:t>: не обнаруживаются с помощью тонкослойной хроматографии;</w:t>
      </w:r>
    </w:p>
    <w:p w14:paraId="7F79D38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FB50E7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индифферентные соединения: 14% растворимого крахмала;</w:t>
      </w:r>
    </w:p>
    <w:p w14:paraId="5FF8505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42E9EC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c) длина волны максимальной абсорбции раствора красящего вещества: 633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>;</w:t>
      </w:r>
    </w:p>
    <w:p w14:paraId="1B8E003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1AB72E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d) тонкослойная хроматография: присутствует только один основной компонент, совпадающий с этиловым зеленым;</w:t>
      </w:r>
    </w:p>
    <w:p w14:paraId="196507B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3E545C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e) обращение и хранение: стабилен при хранении в тщательно закрытой бутылке из коричневого стекла при комнатной температуре от 18 °С до 28 °С.</w:t>
      </w:r>
    </w:p>
    <w:p w14:paraId="1DB3B94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2D73FD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А.2.3 Красящее вещество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Y</w:t>
      </w:r>
    </w:p>
    <w:p w14:paraId="66B908A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38DB79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lastRenderedPageBreak/>
        <w:t>ВНИМАНИЕ - R20 / 21/22: Вреден при вдыхании, попадании на кожу и проглатывании.</w:t>
      </w:r>
    </w:p>
    <w:p w14:paraId="4EC8522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60379A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К красящему веществу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 относится следующая информация:</w:t>
      </w:r>
    </w:p>
    <w:p w14:paraId="7E5EE84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A032D9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а) идентичность продукта:</w:t>
      </w:r>
    </w:p>
    <w:p w14:paraId="06F8BC5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F5D4DB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1)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 (синонимы: </w:t>
      </w:r>
      <w:proofErr w:type="spellStart"/>
      <w:r w:rsidRPr="00F07FD9">
        <w:rPr>
          <w:rFonts w:ascii="Arial" w:eastAsiaTheme="minorHAnsi" w:hAnsi="Arial" w:cs="Arial"/>
          <w:lang w:eastAsia="en-US"/>
        </w:rPr>
        <w:t>pyronine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Y,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G, </w:t>
      </w:r>
      <w:proofErr w:type="spellStart"/>
      <w:r w:rsidRPr="00F07FD9">
        <w:rPr>
          <w:rFonts w:ascii="Arial" w:eastAsiaTheme="minorHAnsi" w:hAnsi="Arial" w:cs="Arial"/>
          <w:lang w:eastAsia="en-US"/>
        </w:rPr>
        <w:t>pyronine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G);</w:t>
      </w:r>
    </w:p>
    <w:p w14:paraId="097A1FC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D20AED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2) регистрационный номер CAS: 92-32-0;</w:t>
      </w:r>
    </w:p>
    <w:p w14:paraId="59DF45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5891DF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3) наименование и номер в индексе красок: наименование в индексе красок отсутствует, 45005;</w:t>
      </w:r>
    </w:p>
    <w:p w14:paraId="5850247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592B90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b) состав:</w:t>
      </w:r>
    </w:p>
    <w:p w14:paraId="38D0067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942E44" w14:textId="3EBF5C0B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1) молекулярная формула, включающая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2F4EA99C" wp14:editId="1985D815">
            <wp:extent cx="1104900" cy="2667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12BF9AE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BA76717" w14:textId="263DA18E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2) молярная масса с (или без)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противоионом</w:t>
      </w:r>
      <w:proofErr w:type="spellEnd"/>
      <w:r w:rsidRPr="00F07FD9">
        <w:rPr>
          <w:rFonts w:ascii="Arial" w:eastAsiaTheme="minorHAnsi" w:hAnsi="Arial" w:cs="Arial"/>
          <w:lang w:eastAsia="en-US"/>
        </w:rPr>
        <w:t>: 302,75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7CD9AB6" wp14:editId="2ED7C216">
            <wp:extent cx="161925" cy="2190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(267,30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25B53E8A" wp14:editId="5165AA29">
            <wp:extent cx="161925" cy="2190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);</w:t>
      </w:r>
    </w:p>
    <w:p w14:paraId="402AB3E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144508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3) массовая доля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 катиона: 80%, определена с помощью абсорбционной спектрометрии;</w:t>
      </w:r>
    </w:p>
    <w:p w14:paraId="74D219F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B3A16A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4) допустимые пределы интерферирующих веществ, приведенные как массовые доли:</w:t>
      </w:r>
    </w:p>
    <w:p w14:paraId="3E83F84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7D8C66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вода: менее 1%;</w:t>
      </w:r>
    </w:p>
    <w:p w14:paraId="0240855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047E9E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неорганические соли: менее 0,1%;</w:t>
      </w:r>
    </w:p>
    <w:p w14:paraId="61E4ABC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C9E6A2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детергенты: отсутствуют;</w:t>
      </w:r>
    </w:p>
    <w:p w14:paraId="045BD9C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2BD645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окрашенные примеси, включая кристаллы </w:t>
      </w:r>
      <w:proofErr w:type="spellStart"/>
      <w:r w:rsidRPr="00F07FD9">
        <w:rPr>
          <w:rFonts w:ascii="Arial" w:eastAsiaTheme="minorHAnsi" w:hAnsi="Arial" w:cs="Arial"/>
          <w:lang w:eastAsia="en-US"/>
        </w:rPr>
        <w:t>виолета</w:t>
      </w:r>
      <w:proofErr w:type="spellEnd"/>
      <w:r w:rsidRPr="00F07FD9">
        <w:rPr>
          <w:rFonts w:ascii="Arial" w:eastAsiaTheme="minorHAnsi" w:hAnsi="Arial" w:cs="Arial"/>
          <w:lang w:eastAsia="en-US"/>
        </w:rPr>
        <w:t>: не обнаруживаются с помощью тонкослойной хроматографии;</w:t>
      </w:r>
    </w:p>
    <w:p w14:paraId="46BED29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1A1D02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индифферентные соединения: 19% растворимого крахмала;</w:t>
      </w:r>
    </w:p>
    <w:p w14:paraId="57BB7E8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EF2AFE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c) длина волны максимальной абсорбции раствора красящего вещества: 550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>;</w:t>
      </w:r>
    </w:p>
    <w:p w14:paraId="4F53121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0EA397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d) тонкослойная хроматография: присутствует только один основной компонент, совпадающий с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пиронином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Y;</w:t>
      </w:r>
    </w:p>
    <w:p w14:paraId="74ABC27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C50B54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e) обращение и хранение: стабилен при хранении в тщательно закрытой бутылке из коричневого стекла при комнатной температуре от 18 °С до 28 °С.</w:t>
      </w:r>
    </w:p>
    <w:p w14:paraId="3F46976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22ABF4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А.2.4 Предназначенное применение метода окрашивания метиловым зеленым-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пиронином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Y</w:t>
      </w:r>
    </w:p>
    <w:p w14:paraId="0CF7F7F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F12A1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Эта процедура используется для демонстрации ДНК (нуклеинов) и РНК (рибосом) в клеточном материале. Это особенно полезно для демонстрации плазменных клеток.</w:t>
      </w:r>
    </w:p>
    <w:p w14:paraId="01E82F9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375692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А.2.4.1 Тип (типы) материала</w:t>
      </w:r>
    </w:p>
    <w:p w14:paraId="0A50B03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485797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Краска метиловый зеленый-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 применяется для окрашивания свежезамороженных, парафинированных или пластиковых срезов тканей различных видов. </w:t>
      </w:r>
    </w:p>
    <w:p w14:paraId="1F9270C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FFD36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А.2.4.2 Обращение и обработка перед окрашиванием</w:t>
      </w:r>
    </w:p>
    <w:p w14:paraId="402FB64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17169E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Возможные фиксирующие средства включают в себя:</w:t>
      </w:r>
    </w:p>
    <w:p w14:paraId="76F8E37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53C161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жидкость </w:t>
      </w:r>
      <w:proofErr w:type="spellStart"/>
      <w:r w:rsidRPr="00F07FD9">
        <w:rPr>
          <w:rFonts w:ascii="Arial" w:eastAsiaTheme="minorHAnsi" w:hAnsi="Arial" w:cs="Arial"/>
          <w:lang w:eastAsia="en-US"/>
        </w:rPr>
        <w:t>Карноя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[этанол (объемная доля 99%) + хлороформ + уксусная кислота (массовая доля 99%), смешанные в объемах (60+30+10) мл] или</w:t>
      </w:r>
    </w:p>
    <w:p w14:paraId="2D275F8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A8846E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формальдегид (массовая доля 3,6%), </w:t>
      </w:r>
      <w:proofErr w:type="spellStart"/>
      <w:r w:rsidRPr="00F07FD9">
        <w:rPr>
          <w:rFonts w:ascii="Arial" w:eastAsiaTheme="minorHAnsi" w:hAnsi="Arial" w:cs="Arial"/>
          <w:lang w:eastAsia="en-US"/>
        </w:rPr>
        <w:t>забуференный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фосфатом (рН=7,0); рутинное высушивание, очистка, пропитывание и покрытие парафином, обычное приготовление срезов с помощью микротома.</w:t>
      </w:r>
    </w:p>
    <w:p w14:paraId="3914369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77E838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А.2.4.3 Рабочий раствор</w:t>
      </w:r>
    </w:p>
    <w:p w14:paraId="2B8817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06CE5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Готовят раствор этилового зеленого или метилового зеленого из количества, соответствующего массе 0,15 г чистого красящего вещества, рассчитанного как окрашенный катион (в приведенных выше примерах 0,176 г в каждом случае) в 90 мл горячей (температура 50 °С) дистиллированной воды.</w:t>
      </w:r>
    </w:p>
    <w:p w14:paraId="6326035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45C165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Растворяют количество, соответствующее массе 0,03 г </w:t>
      </w:r>
      <w:proofErr w:type="spellStart"/>
      <w:r w:rsidRPr="00F07FD9">
        <w:rPr>
          <w:rFonts w:ascii="Arial" w:eastAsiaTheme="minorHAnsi" w:hAnsi="Arial" w:cs="Arial"/>
          <w:lang w:eastAsia="en-US"/>
        </w:rPr>
        <w:t>пиронина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Y, рассчитанного как окрашенный катион (в примере, приведенном выше 0,038 г) в 10 мл 0,1 моль/л </w:t>
      </w:r>
      <w:proofErr w:type="spellStart"/>
      <w:r w:rsidRPr="00F07FD9">
        <w:rPr>
          <w:rFonts w:ascii="Arial" w:eastAsiaTheme="minorHAnsi" w:hAnsi="Arial" w:cs="Arial"/>
          <w:lang w:eastAsia="en-US"/>
        </w:rPr>
        <w:t>фталатного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буфера (рН=4,0). Смешивают последний раствор с раствором этилового зеленого или метилового зеленого.</w:t>
      </w:r>
    </w:p>
    <w:p w14:paraId="1BD22F1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9649E1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А.2.4.4 Стабильность</w:t>
      </w:r>
    </w:p>
    <w:p w14:paraId="5412401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B3244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Рабочий раствор стабилен по крайней мере одну неделю при хранении в плотно закрытой бутыли из коричневого стекла при комнатной температуре от 18 °С до 28 °С.</w:t>
      </w:r>
    </w:p>
    <w:p w14:paraId="3289CD0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B8C269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А.2.4.5 Методика окрашивания</w:t>
      </w:r>
    </w:p>
    <w:p w14:paraId="7AB24C6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529A62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А.2.4.5.1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Депарафинируют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срезы.</w:t>
      </w:r>
    </w:p>
    <w:p w14:paraId="49D8939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4A3DFA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А.2.4.5.2 Смачивают срезы.</w:t>
      </w:r>
    </w:p>
    <w:p w14:paraId="6DC6E50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24DFB1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А.2.4.5.3 Окрашивают срезы в течение 5 мин при комнатной температуре около 22 °С в рабочем растворе.</w:t>
      </w:r>
    </w:p>
    <w:p w14:paraId="04A6736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0A60C4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А.2.4.5.4 Промывают срезы в двух сменах дистиллированной воды, от 2 до 3 с в каждой.</w:t>
      </w:r>
    </w:p>
    <w:p w14:paraId="7D32437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C543AC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А.2.4.5.5 Стряхивают излишки воды.</w:t>
      </w:r>
    </w:p>
    <w:p w14:paraId="1660BC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3B385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А.2.4.5.6 Активируют в трех сменах 1-бутанола.</w:t>
      </w:r>
    </w:p>
    <w:p w14:paraId="32EC4B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E25B3A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А.2.4.5.7 Переносят непосредственно из 1-бутанола в гидрофобную синтетическую смолу.</w:t>
      </w:r>
    </w:p>
    <w:p w14:paraId="776A950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EE48C6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А.2.4.6 Ожидаемый результат (результаты)</w:t>
      </w:r>
    </w:p>
    <w:p w14:paraId="30EA46D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6ADA67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Ожидается получение следующих результатов с типами материалов, перечисленными в А.2.4.1: </w:t>
      </w:r>
    </w:p>
    <w:p w14:paraId="6ED8DC3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084AC1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а) для ядерного хроматина: зеленый (фиксатор </w:t>
      </w:r>
      <w:proofErr w:type="spellStart"/>
      <w:r w:rsidRPr="00F07FD9">
        <w:rPr>
          <w:rFonts w:ascii="Arial" w:eastAsiaTheme="minorHAnsi" w:hAnsi="Arial" w:cs="Arial"/>
          <w:lang w:eastAsia="en-US"/>
        </w:rPr>
        <w:t>Карнов</w:t>
      </w:r>
      <w:proofErr w:type="spellEnd"/>
      <w:r w:rsidRPr="00F07FD9">
        <w:rPr>
          <w:rFonts w:ascii="Arial" w:eastAsiaTheme="minorHAnsi" w:hAnsi="Arial" w:cs="Arial"/>
          <w:lang w:eastAsia="en-US"/>
        </w:rPr>
        <w:t>) или голубой (фиксатор формальдегид);</w:t>
      </w:r>
    </w:p>
    <w:p w14:paraId="4CCA586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9AE38C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b) для </w:t>
      </w:r>
      <w:proofErr w:type="spellStart"/>
      <w:r w:rsidRPr="00F07FD9">
        <w:rPr>
          <w:rFonts w:ascii="Arial" w:eastAsiaTheme="minorHAnsi" w:hAnsi="Arial" w:cs="Arial"/>
          <w:lang w:eastAsia="en-US"/>
        </w:rPr>
        <w:t>нуклеол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 цитоплазмы, богатой рибосомами: красный (фиксатор </w:t>
      </w:r>
      <w:proofErr w:type="spellStart"/>
      <w:r w:rsidRPr="00F07FD9">
        <w:rPr>
          <w:rFonts w:ascii="Arial" w:eastAsiaTheme="minorHAnsi" w:hAnsi="Arial" w:cs="Arial"/>
          <w:lang w:eastAsia="en-US"/>
        </w:rPr>
        <w:t>Карнов</w:t>
      </w:r>
      <w:proofErr w:type="spellEnd"/>
      <w:r w:rsidRPr="00F07FD9">
        <w:rPr>
          <w:rFonts w:ascii="Arial" w:eastAsiaTheme="minorHAnsi" w:hAnsi="Arial" w:cs="Arial"/>
          <w:lang w:eastAsia="en-US"/>
        </w:rPr>
        <w:t>) или лиловато-красный (фиксатор формальдегид);</w:t>
      </w:r>
    </w:p>
    <w:p w14:paraId="7BC5814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2FCC60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c) для матрицы хрящей и гранул тучных клеток: оранжевый;</w:t>
      </w:r>
    </w:p>
    <w:p w14:paraId="1646AAF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01A12E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d) для мышц, коллагена и эритроцитов: не окрашенные.</w:t>
      </w:r>
    </w:p>
    <w:p w14:paraId="73534EA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DFE363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А.3 Реакция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Фельгена-Шиффа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– Пример 2</w:t>
      </w:r>
    </w:p>
    <w:p w14:paraId="7C73918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8A20FC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А.3.1 Красящее вещество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парарозанилин</w:t>
      </w:r>
      <w:proofErr w:type="spellEnd"/>
    </w:p>
    <w:p w14:paraId="7C44205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C992B0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ПРЕДОСТЕРЕЖЕНИЕ - Для R 40: возможный риск необратимых эффектов. Для R 22: не вдыхать пыль;</w:t>
      </w:r>
    </w:p>
    <w:p w14:paraId="7B1496C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FE8B44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Для S 36/37: необходима защитная одежда и перчатки.</w:t>
      </w:r>
    </w:p>
    <w:p w14:paraId="7D58979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ABCD54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Следующая информация относится к красящему веществу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</w:t>
      </w:r>
      <w:proofErr w:type="spellEnd"/>
      <w:r w:rsidRPr="00F07FD9">
        <w:rPr>
          <w:rFonts w:ascii="Arial" w:eastAsiaTheme="minorHAnsi" w:hAnsi="Arial" w:cs="Arial"/>
          <w:lang w:eastAsia="en-US"/>
        </w:rPr>
        <w:t>.</w:t>
      </w:r>
    </w:p>
    <w:p w14:paraId="494FA33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F366B2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a) идентичность продукта:</w:t>
      </w:r>
    </w:p>
    <w:p w14:paraId="35BA552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86238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1)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(синонимы: основной рубиновый, парафуксин,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парамагента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, </w:t>
      </w:r>
      <w:proofErr w:type="spellStart"/>
      <w:r w:rsidRPr="00F07FD9">
        <w:rPr>
          <w:rFonts w:ascii="Arial" w:eastAsiaTheme="minorHAnsi" w:hAnsi="Arial" w:cs="Arial"/>
          <w:lang w:eastAsia="en-US"/>
        </w:rPr>
        <w:t>магента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0);</w:t>
      </w:r>
    </w:p>
    <w:p w14:paraId="7B2AC73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328D37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2) регистрационный номер CAS: 569-61-9;</w:t>
      </w:r>
    </w:p>
    <w:p w14:paraId="4045FB8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7CEA4A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3) наименование и номер индекса красок: основной красный 9,42500;</w:t>
      </w:r>
    </w:p>
    <w:p w14:paraId="2D8FB99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DCFB9A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 w:rsidRPr="00F07FD9">
        <w:rPr>
          <w:rFonts w:ascii="Arial" w:eastAsiaTheme="minorHAnsi" w:hAnsi="Arial" w:cs="Arial"/>
          <w:b/>
          <w:lang w:eastAsia="en-US"/>
        </w:rPr>
        <w:t>b) состав:</w:t>
      </w:r>
    </w:p>
    <w:p w14:paraId="2512602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CFEED2A" w14:textId="1B8AA4F6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1) молекулярная формула, включающая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52D08E1" wp14:editId="75B428B5">
            <wp:extent cx="981075" cy="2667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6ADD44E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5A9AAFC" w14:textId="0DC9F036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2) молярная масса с (и без) </w:t>
      </w:r>
      <w:proofErr w:type="spellStart"/>
      <w:r w:rsidRPr="00F07FD9">
        <w:rPr>
          <w:rFonts w:ascii="Arial" w:eastAsiaTheme="minorHAnsi" w:hAnsi="Arial" w:cs="Arial"/>
          <w:lang w:eastAsia="en-US"/>
        </w:rPr>
        <w:t>противоиона</w:t>
      </w:r>
      <w:proofErr w:type="spellEnd"/>
      <w:r w:rsidRPr="00F07FD9">
        <w:rPr>
          <w:rFonts w:ascii="Arial" w:eastAsiaTheme="minorHAnsi" w:hAnsi="Arial" w:cs="Arial"/>
          <w:lang w:eastAsia="en-US"/>
        </w:rPr>
        <w:t>: 323,73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1BBA63ED" wp14:editId="4B72CA5B">
            <wp:extent cx="161925" cy="2190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(288,28 г моль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89839D0" wp14:editId="0EBF1697">
            <wp:extent cx="161925" cy="2190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);</w:t>
      </w:r>
    </w:p>
    <w:p w14:paraId="191167A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BC15C6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3) массовая фракция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катиона: 85%, определенная с помощью абсорбционной спектрометрии;</w:t>
      </w:r>
    </w:p>
    <w:p w14:paraId="5403089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36CE6D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4) допустимые пределы интерферирующих веществ, приведенные как массовые доли:</w:t>
      </w:r>
    </w:p>
    <w:p w14:paraId="53E08E1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8B8B75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вода: менее 1%;</w:t>
      </w:r>
    </w:p>
    <w:p w14:paraId="115F59E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208DB1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неорганические соли: менее 0,1%;</w:t>
      </w:r>
    </w:p>
    <w:p w14:paraId="78C9077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32F8C4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детергенты: не присутствуют;</w:t>
      </w:r>
    </w:p>
    <w:p w14:paraId="6226A21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F26368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окрашенные примеси: </w:t>
      </w:r>
      <w:proofErr w:type="spellStart"/>
      <w:r w:rsidRPr="00F07FD9">
        <w:rPr>
          <w:rFonts w:ascii="Arial" w:eastAsiaTheme="minorHAnsi" w:hAnsi="Arial" w:cs="Arial"/>
          <w:lang w:eastAsia="en-US"/>
        </w:rPr>
        <w:t>метилированные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гомологи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могут присутствовать в следовых количествах, определяемые с помощью тонкослойной хроматографии, но акридин отсутствует;</w:t>
      </w:r>
    </w:p>
    <w:p w14:paraId="7807E7B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25204C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индифферентные соединения: 14% растворимого крахмала;</w:t>
      </w:r>
    </w:p>
    <w:p w14:paraId="7F8DBB9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B61F79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c) длина волны максимальной абсорбции раствора красящего вещества: 542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>;</w:t>
      </w:r>
    </w:p>
    <w:p w14:paraId="7863C84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707FC3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d) тонкослойная хроматография: присутствует один основной компонент, соответствующий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парарозанилину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; </w:t>
      </w:r>
      <w:proofErr w:type="spellStart"/>
      <w:r w:rsidRPr="00F07FD9">
        <w:rPr>
          <w:rFonts w:ascii="Arial" w:eastAsiaTheme="minorHAnsi" w:hAnsi="Arial" w:cs="Arial"/>
          <w:lang w:eastAsia="en-US"/>
        </w:rPr>
        <w:t>метилированные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гомологи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следовых количествах;</w:t>
      </w:r>
    </w:p>
    <w:p w14:paraId="7864173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2DB39C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e) обращение и хранение: стабилен при хранении в тщательно закупоренной коричневой бутылке при комнатной температуре от 18 °С до 28 °С.</w:t>
      </w:r>
    </w:p>
    <w:p w14:paraId="1F45368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D49B6B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А.3.2 Предназначенное применение реакции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Фельгена-Шиффа</w:t>
      </w:r>
      <w:proofErr w:type="spellEnd"/>
    </w:p>
    <w:p w14:paraId="4FF2F32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3667F2B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Эта процедура используется для демонстрации ДНК в клеточном материале.</w:t>
      </w:r>
    </w:p>
    <w:p w14:paraId="4CD8445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C32F0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А.3.2.1 Тип (типы) материала</w:t>
      </w:r>
    </w:p>
    <w:p w14:paraId="1DEFDC7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5E9683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 xml:space="preserve">Реакция </w:t>
      </w:r>
      <w:proofErr w:type="spellStart"/>
      <w:r w:rsidRPr="00F07FD9">
        <w:rPr>
          <w:rFonts w:ascii="Arial" w:eastAsiaTheme="minorHAnsi" w:hAnsi="Arial" w:cs="Arial"/>
          <w:lang w:eastAsia="en-US"/>
        </w:rPr>
        <w:t>Фельгена-Шиффа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применяется для парафинированных или пластиковых срезов различных видов тканей или цитологического материала (мазок, отпечаток ткани, культура клеток,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монослой</w:t>
      </w:r>
      <w:proofErr w:type="spellEnd"/>
      <w:r w:rsidRPr="00F07FD9">
        <w:rPr>
          <w:rFonts w:ascii="Arial" w:eastAsiaTheme="minorHAnsi" w:hAnsi="Arial" w:cs="Arial"/>
          <w:lang w:eastAsia="en-US"/>
        </w:rPr>
        <w:t>):</w:t>
      </w:r>
    </w:p>
    <w:p w14:paraId="364F0B0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166BC4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А.3.2.2 Обращение и обработка перед окрашиванием</w:t>
      </w:r>
    </w:p>
    <w:p w14:paraId="2D50994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814EAD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А.3.2.2.1 Возможные фиксирующие вещества</w:t>
      </w:r>
    </w:p>
    <w:p w14:paraId="2582473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1F2242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Возможные фиксирующие вещества включают в себя:</w:t>
      </w:r>
    </w:p>
    <w:p w14:paraId="1160CD1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A8FA0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a) гистология: формальдегид (массовая доля 3,6%), </w:t>
      </w:r>
      <w:proofErr w:type="spellStart"/>
      <w:r w:rsidRPr="00F07FD9">
        <w:rPr>
          <w:rFonts w:ascii="Arial" w:eastAsiaTheme="minorHAnsi" w:hAnsi="Arial" w:cs="Arial"/>
          <w:lang w:eastAsia="en-US"/>
        </w:rPr>
        <w:t>забуференный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фосфатом, (рН=7,0);</w:t>
      </w:r>
    </w:p>
    <w:p w14:paraId="728C65A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F24E80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b) цитология:</w:t>
      </w:r>
    </w:p>
    <w:p w14:paraId="15E704A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AAB456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1) жидкий фиксирующий материал: этанол (объемная доля 96%);</w:t>
      </w:r>
    </w:p>
    <w:p w14:paraId="7792511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33EB76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2) высушенный на воздухе материал:</w:t>
      </w:r>
    </w:p>
    <w:p w14:paraId="580FAE0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C94562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формальдегид (массовая доля 3,6%), </w:t>
      </w:r>
      <w:proofErr w:type="spellStart"/>
      <w:r w:rsidRPr="00F07FD9">
        <w:rPr>
          <w:rFonts w:ascii="Arial" w:eastAsiaTheme="minorHAnsi" w:hAnsi="Arial" w:cs="Arial"/>
          <w:lang w:eastAsia="en-US"/>
        </w:rPr>
        <w:t>забуференный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фосфатом;</w:t>
      </w:r>
    </w:p>
    <w:p w14:paraId="11B9E99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42199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метанол + формальдегид (массовая доля 37%) + уксусная кислота (массовая доля 100%), смешанные в объемах (85+10+5) мл.</w:t>
      </w:r>
    </w:p>
    <w:p w14:paraId="16DCC5B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E99F41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Материал, фиксированный в фиксаторе </w:t>
      </w:r>
      <w:proofErr w:type="spellStart"/>
      <w:r w:rsidRPr="00F07FD9">
        <w:rPr>
          <w:rFonts w:ascii="Arial" w:eastAsiaTheme="minorHAnsi" w:hAnsi="Arial" w:cs="Arial"/>
          <w:lang w:eastAsia="en-US"/>
        </w:rPr>
        <w:t>Буина</w:t>
      </w:r>
      <w:proofErr w:type="spellEnd"/>
      <w:r w:rsidRPr="00F07FD9">
        <w:rPr>
          <w:rFonts w:ascii="Arial" w:eastAsiaTheme="minorHAnsi" w:hAnsi="Arial" w:cs="Arial"/>
          <w:lang w:eastAsia="en-US"/>
        </w:rPr>
        <w:t>, непригоден для этой реакции.</w:t>
      </w:r>
    </w:p>
    <w:p w14:paraId="633604C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A62FC4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Детали методики, примененной изготовителем для исследования реактивности хромогенного реагента, приведены в А.3.2.2.2-А.3.2.4.</w:t>
      </w:r>
    </w:p>
    <w:p w14:paraId="3274CE1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612245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А.3.2.2.2 Реагент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парарозанилин-Шифф</w:t>
      </w:r>
      <w:proofErr w:type="spellEnd"/>
    </w:p>
    <w:p w14:paraId="4108DFF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C85EA92" w14:textId="5B2ED4AF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Растворяют 0,5 г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-хлорида в 15 мл 1 моль/л соляной кислоты. Добавляют 85 мл водного раствора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62EEBBAC" wp14:editId="5E681D09">
            <wp:extent cx="561975" cy="2286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(массовая доля 0,5%). Ожидают 24 ч. Взбалтывают 100 мл этого раствора с 0,3 г древесного угля в течение 2 мин и профильтровывают. Хранят бесцветную жидкость при температуре не ниже 5 °С. Раствор стабилен в течение по крайней мере 12 </w:t>
      </w:r>
      <w:proofErr w:type="spellStart"/>
      <w:r w:rsidRPr="00F07FD9">
        <w:rPr>
          <w:rFonts w:ascii="Arial" w:eastAsiaTheme="minorHAnsi" w:hAnsi="Arial" w:cs="Arial"/>
          <w:lang w:eastAsia="en-US"/>
        </w:rPr>
        <w:t>мес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плотно закрытой посуде.</w:t>
      </w:r>
    </w:p>
    <w:p w14:paraId="0884879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F53115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А.3.2.2.3 Раствор для промывания</w:t>
      </w:r>
    </w:p>
    <w:p w14:paraId="10CDDE4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4D4F3D4" w14:textId="3C35F9D9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Растворяют 0,5 г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BA2B0E3" wp14:editId="4AE487AE">
            <wp:extent cx="561975" cy="2286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в 85 мл дистиллированной воды. Добавляют 15 мл 1 моль/л соляной кислоты. Раствор готов к немедленному применению и может быть использован в течение 12 ч.</w:t>
      </w:r>
    </w:p>
    <w:p w14:paraId="389AE20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8DE3AD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А.3.2.3 Методика окрашивания</w:t>
      </w:r>
    </w:p>
    <w:p w14:paraId="70839C6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413D68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А.3.2.3.1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Депарафинируют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парафинированные срезы в </w:t>
      </w:r>
      <w:proofErr w:type="spellStart"/>
      <w:r w:rsidRPr="00F07FD9">
        <w:rPr>
          <w:rFonts w:ascii="Arial" w:eastAsiaTheme="minorHAnsi" w:hAnsi="Arial" w:cs="Arial"/>
          <w:lang w:eastAsia="en-US"/>
        </w:rPr>
        <w:t>ксилене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течение 5 мин, затем промывают в течение 2 мин, сначала в этаноле с объемной долей 99%, а затем в этаноле с объемной долей 50%.</w:t>
      </w:r>
    </w:p>
    <w:p w14:paraId="081A2BC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F0D206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А.3.2.3.2 Смачивают пластиковые срезы,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депарафинированные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парафинированные срезы и цитологический материал в дистиллированной воде в течение 2 мин.</w:t>
      </w:r>
    </w:p>
    <w:p w14:paraId="65A08CA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B407A9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А.3.2.3.3 </w:t>
      </w:r>
      <w:proofErr w:type="spellStart"/>
      <w:r w:rsidRPr="00F07FD9">
        <w:rPr>
          <w:rFonts w:ascii="Arial" w:eastAsiaTheme="minorHAnsi" w:hAnsi="Arial" w:cs="Arial"/>
          <w:lang w:eastAsia="en-US"/>
        </w:rPr>
        <w:t>Гидролизуют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материал в 5 моль/л соляной кислоте при температуре 22 °С в течение от 30 до 60 мин (точное время гидролиза зависит от типа материала).</w:t>
      </w:r>
    </w:p>
    <w:p w14:paraId="53AB0AB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3C6892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А.3.2.3.4 Промывают дистиллированной водой в течение 2 мин.</w:t>
      </w:r>
    </w:p>
    <w:p w14:paraId="5288C7B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4622E1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А.3.2.3.5 Окрашивают реагентом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парарозанилин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течение 1 ч.</w:t>
      </w:r>
    </w:p>
    <w:p w14:paraId="258FF3B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E84890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А.3.2.3.6 Промывают в трех последовательных сменах промывного раствора по 5 мин в каждой.</w:t>
      </w:r>
    </w:p>
    <w:p w14:paraId="5D8955B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8AB141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А.3.2.3.7 Дважды промывают дистиллированной водой, по 5 мин каждый раз.</w:t>
      </w:r>
    </w:p>
    <w:p w14:paraId="562EADC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7CE0CE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А.3.2.3.8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Дегидратируют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этаноле с объемной долей 50</w:t>
      </w:r>
      <w:proofErr w:type="gramStart"/>
      <w:r w:rsidRPr="00F07FD9">
        <w:rPr>
          <w:rFonts w:ascii="Arial" w:eastAsiaTheme="minorHAnsi" w:hAnsi="Arial" w:cs="Arial"/>
          <w:lang w:eastAsia="en-US"/>
        </w:rPr>
        <w:t>% ,</w:t>
      </w:r>
      <w:proofErr w:type="gramEnd"/>
      <w:r w:rsidRPr="00F07FD9">
        <w:rPr>
          <w:rFonts w:ascii="Arial" w:eastAsiaTheme="minorHAnsi" w:hAnsi="Arial" w:cs="Arial"/>
          <w:lang w:eastAsia="en-US"/>
        </w:rPr>
        <w:t xml:space="preserve"> затем с 70% и наконец в 99%-ном этаноле, по 3 мин каждый раз.</w:t>
      </w:r>
    </w:p>
    <w:p w14:paraId="16D1D0B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A3FB07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А.3.2.3.9 Дважды промывают в </w:t>
      </w:r>
      <w:proofErr w:type="spellStart"/>
      <w:r w:rsidRPr="00F07FD9">
        <w:rPr>
          <w:rFonts w:ascii="Arial" w:eastAsiaTheme="minorHAnsi" w:hAnsi="Arial" w:cs="Arial"/>
          <w:lang w:eastAsia="en-US"/>
        </w:rPr>
        <w:t>ксилене</w:t>
      </w:r>
      <w:proofErr w:type="spellEnd"/>
      <w:r w:rsidRPr="00F07FD9">
        <w:rPr>
          <w:rFonts w:ascii="Arial" w:eastAsiaTheme="minorHAnsi" w:hAnsi="Arial" w:cs="Arial"/>
          <w:lang w:eastAsia="en-US"/>
        </w:rPr>
        <w:t>, по 5 мин каждый раз.</w:t>
      </w:r>
    </w:p>
    <w:p w14:paraId="486114A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F63161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А.3.2.3.10 Извлекают в синтетическую гидрофобную смолу.</w:t>
      </w:r>
    </w:p>
    <w:p w14:paraId="2752BFF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C9AC07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А.3.2.4 Ожидаемые результаты</w:t>
      </w:r>
    </w:p>
    <w:p w14:paraId="47D58FD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6FCB87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Ожидается получение следующих результатов с типами материалов, перечисленных в А.3.2.1:</w:t>
      </w:r>
    </w:p>
    <w:p w14:paraId="083DD3B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6F02AE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Для ядер клеток (ДНК): красный цвет.</w:t>
      </w:r>
    </w:p>
    <w:p w14:paraId="06AB0A2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AB16E6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А.4 Иммунохимическая демонстрация рецепторов эстрогенов</w:t>
      </w:r>
    </w:p>
    <w:p w14:paraId="33E474E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E6495F5" w14:textId="11189CE9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ПРЕДОСТЕРЕЖЕНИЕ - Реагент, содержащий азид натрия (15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>/л).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2B68FAE3" wp14:editId="4DD21FBE">
            <wp:extent cx="504825" cy="2286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b/>
          <w:bCs/>
          <w:lang w:eastAsia="en-US"/>
        </w:rPr>
        <w:t>может реагировать с свинцом или медью, образуя взрывчатые азиды металлов. При удалении смыть большим объемом воды.</w:t>
      </w:r>
    </w:p>
    <w:p w14:paraId="53D9B70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24ED43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А.4.1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Моноклональный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мышиный античеловеческий рецептор эстрогенов</w:t>
      </w:r>
    </w:p>
    <w:p w14:paraId="053031E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F812D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Следующая информация относится к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моноклональному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мышиному античеловеческому рецептору эстрогенов.</w:t>
      </w:r>
    </w:p>
    <w:p w14:paraId="5BF6748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E0428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а) идентичность продукта: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мышиный античеловеческий рецептор эстрогенов, клон 1D5;</w:t>
      </w:r>
    </w:p>
    <w:p w14:paraId="6E64B0F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7E707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b) клон: 1D5;</w:t>
      </w:r>
    </w:p>
    <w:p w14:paraId="6523CD6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98B67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c) иммуноген: рекомбинантный человеческий белок рецептора эстрогенов;</w:t>
      </w:r>
    </w:p>
    <w:p w14:paraId="641AABB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E3B8AA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d) источник антител: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моноклональное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мышиное антитело, поставленное в жидкой форме как </w:t>
      </w:r>
      <w:proofErr w:type="spellStart"/>
      <w:r w:rsidRPr="00F07FD9">
        <w:rPr>
          <w:rFonts w:ascii="Arial" w:eastAsiaTheme="minorHAnsi" w:hAnsi="Arial" w:cs="Arial"/>
          <w:lang w:eastAsia="en-US"/>
        </w:rPr>
        <w:t>супернатант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тканевой культуры;</w:t>
      </w:r>
    </w:p>
    <w:p w14:paraId="7D43722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7F0648" w14:textId="4267CCD9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e) специфичность: антитело реагирует с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56DAB35" wp14:editId="0E753B12">
            <wp:extent cx="180975" cy="1809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-концевым доменом (А/В регион) рецептора. При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иммуноблоттинге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оно реагирует с 67 </w:t>
      </w:r>
      <w:proofErr w:type="spellStart"/>
      <w:r w:rsidRPr="00F07FD9">
        <w:rPr>
          <w:rFonts w:ascii="Arial" w:eastAsiaTheme="minorHAnsi" w:hAnsi="Arial" w:cs="Arial"/>
          <w:lang w:eastAsia="en-US"/>
        </w:rPr>
        <w:t>кДа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полипепетидной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цепью, полученной путем трансформации </w:t>
      </w:r>
      <w:proofErr w:type="spellStart"/>
      <w:r w:rsidRPr="00F07FD9">
        <w:rPr>
          <w:rFonts w:ascii="Arial" w:eastAsiaTheme="minorHAnsi" w:hAnsi="Arial" w:cs="Arial"/>
          <w:i/>
          <w:iCs/>
          <w:lang w:eastAsia="en-US"/>
        </w:rPr>
        <w:t>Escherichia</w:t>
      </w:r>
      <w:proofErr w:type="spellEnd"/>
      <w:r w:rsidRPr="00F07FD9">
        <w:rPr>
          <w:rFonts w:ascii="Arial" w:eastAsiaTheme="minorHAnsi" w:hAnsi="Arial" w:cs="Arial"/>
          <w:i/>
          <w:iCs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i/>
          <w:iCs/>
          <w:lang w:eastAsia="en-US"/>
        </w:rPr>
        <w:t>coli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 </w:t>
      </w:r>
      <w:proofErr w:type="spellStart"/>
      <w:r w:rsidRPr="00F07FD9">
        <w:rPr>
          <w:rFonts w:ascii="Arial" w:eastAsiaTheme="minorHAnsi" w:hAnsi="Arial" w:cs="Arial"/>
          <w:lang w:eastAsia="en-US"/>
        </w:rPr>
        <w:t>трансфекции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COS клеток </w:t>
      </w:r>
      <w:proofErr w:type="spellStart"/>
      <w:r w:rsidRPr="00F07FD9">
        <w:rPr>
          <w:rFonts w:ascii="Arial" w:eastAsiaTheme="minorHAnsi" w:hAnsi="Arial" w:cs="Arial"/>
          <w:lang w:eastAsia="en-US"/>
        </w:rPr>
        <w:t>плазмидными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векторами, </w:t>
      </w:r>
      <w:proofErr w:type="spellStart"/>
      <w:r w:rsidRPr="00F07FD9">
        <w:rPr>
          <w:rFonts w:ascii="Arial" w:eastAsiaTheme="minorHAnsi" w:hAnsi="Arial" w:cs="Arial"/>
          <w:lang w:eastAsia="en-US"/>
        </w:rPr>
        <w:t>экспрессирующими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рецептор эстрогенов. Кроме того, антитело реагирует с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цитозольными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экстрактами </w:t>
      </w:r>
      <w:proofErr w:type="spellStart"/>
      <w:r w:rsidRPr="00F07FD9">
        <w:rPr>
          <w:rFonts w:ascii="Arial" w:eastAsiaTheme="minorHAnsi" w:hAnsi="Arial" w:cs="Arial"/>
          <w:lang w:eastAsia="en-US"/>
        </w:rPr>
        <w:t>лютеального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эндометрия и клетками линии MCF-7 рака грудной железы человека;</w:t>
      </w:r>
    </w:p>
    <w:p w14:paraId="6720AFF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C0BF00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f) перекрестная реактивность: антитело реагирует с рецепторами эстрогенов крыс;</w:t>
      </w:r>
    </w:p>
    <w:p w14:paraId="2103E6B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DB7519A" w14:textId="7BB1E9D4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д) состав: </w:t>
      </w:r>
      <w:proofErr w:type="spellStart"/>
      <w:r w:rsidRPr="00F07FD9">
        <w:rPr>
          <w:rFonts w:ascii="Arial" w:eastAsiaTheme="minorHAnsi" w:hAnsi="Arial" w:cs="Arial"/>
          <w:lang w:eastAsia="en-US"/>
        </w:rPr>
        <w:t>супернатант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культуры ткани (среда RPMI 1640, содержащая сыворотку плода теленка), диализированный против 0,05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proofErr w:type="spellStart"/>
      <w:r w:rsidRPr="00F07FD9">
        <w:rPr>
          <w:rFonts w:ascii="Arial" w:eastAsiaTheme="minorHAnsi" w:hAnsi="Arial" w:cs="Arial"/>
          <w:lang w:eastAsia="en-US"/>
        </w:rPr>
        <w:t>Tris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/HCI, </w:t>
      </w:r>
      <w:proofErr w:type="spellStart"/>
      <w:r w:rsidRPr="00F07FD9">
        <w:rPr>
          <w:rFonts w:ascii="Arial" w:eastAsiaTheme="minorHAnsi" w:hAnsi="Arial" w:cs="Arial"/>
          <w:lang w:eastAsia="en-US"/>
        </w:rPr>
        <w:t>pH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=7,2, содержащий 15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0B4DFACE" wp14:editId="5E263AFD">
            <wp:extent cx="409575" cy="2286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.</w:t>
      </w:r>
    </w:p>
    <w:p w14:paraId="6CC2473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433647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концентрация </w:t>
      </w:r>
      <w:proofErr w:type="spellStart"/>
      <w:r w:rsidRPr="00F07FD9">
        <w:rPr>
          <w:rFonts w:ascii="Arial" w:eastAsiaTheme="minorHAnsi" w:hAnsi="Arial" w:cs="Arial"/>
          <w:lang w:eastAsia="en-US"/>
        </w:rPr>
        <w:t>Ig</w:t>
      </w:r>
      <w:proofErr w:type="spellEnd"/>
      <w:r w:rsidRPr="00F07FD9">
        <w:rPr>
          <w:rFonts w:ascii="Arial" w:eastAsiaTheme="minorHAnsi" w:hAnsi="Arial" w:cs="Arial"/>
          <w:lang w:eastAsia="en-US"/>
        </w:rPr>
        <w:t>: 245 мг/л;</w:t>
      </w:r>
    </w:p>
    <w:p w14:paraId="72A1444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FC6248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</w:t>
      </w:r>
      <w:proofErr w:type="spellStart"/>
      <w:r w:rsidRPr="00F07FD9">
        <w:rPr>
          <w:rFonts w:ascii="Arial" w:eastAsiaTheme="minorHAnsi" w:hAnsi="Arial" w:cs="Arial"/>
          <w:lang w:eastAsia="en-US"/>
        </w:rPr>
        <w:t>изотип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Ig</w:t>
      </w:r>
      <w:proofErr w:type="spellEnd"/>
      <w:r w:rsidRPr="00F07FD9">
        <w:rPr>
          <w:rFonts w:ascii="Arial" w:eastAsiaTheme="minorHAnsi" w:hAnsi="Arial" w:cs="Arial"/>
          <w:lang w:eastAsia="en-US"/>
        </w:rPr>
        <w:t>: lgG1;</w:t>
      </w:r>
    </w:p>
    <w:p w14:paraId="5F75025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6E7007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идентичность легкой цепи: каппа;</w:t>
      </w:r>
    </w:p>
    <w:p w14:paraId="0709DF0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0BDC47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концентрация общего белка: 14,9 г/л;</w:t>
      </w:r>
    </w:p>
    <w:p w14:paraId="2B26060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CC238B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h) обращение и хранение: стабилен до трех лет при температуре хранения от 2 °С до 8 °С.</w:t>
      </w:r>
    </w:p>
    <w:p w14:paraId="7206E68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DC784D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А.4.2 Предназначенное применение</w:t>
      </w:r>
    </w:p>
    <w:p w14:paraId="3A4103C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B3BB06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А.4.2.1 Общие положения</w:t>
      </w:r>
    </w:p>
    <w:p w14:paraId="6BEC477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27DD85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Антитело применяется для качественного и полуколичественного обнаружения экспрессии рецептора эстрогенов (например, рак грудной железы).</w:t>
      </w:r>
    </w:p>
    <w:p w14:paraId="10E2AD6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321EE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А.4.2.2 Тип (типы) материала</w:t>
      </w:r>
    </w:p>
    <w:p w14:paraId="27D4024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B68074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Антитело может быть применено на парафинированных срезах, фиксированных формалином, замороженных срезах, фиксированных ацетоном, и на мазках клеток. Кроме того, антитело может быть применено для </w:t>
      </w:r>
      <w:proofErr w:type="spellStart"/>
      <w:r w:rsidRPr="00F07FD9">
        <w:rPr>
          <w:rFonts w:ascii="Arial" w:eastAsiaTheme="minorHAnsi" w:hAnsi="Arial" w:cs="Arial"/>
          <w:lang w:eastAsia="en-US"/>
        </w:rPr>
        <w:t>детекции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антител фермент-связанным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иммуносорбентным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исследованием (ELISA).</w:t>
      </w:r>
    </w:p>
    <w:p w14:paraId="30ED06F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030099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 Методика окрашивания для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иммуногистохимии</w:t>
      </w:r>
      <w:proofErr w:type="spellEnd"/>
    </w:p>
    <w:p w14:paraId="1DECCEF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0CD46F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А.4.2.3.1 Общие положения</w:t>
      </w:r>
    </w:p>
    <w:p w14:paraId="7E27DB5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A15F37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Для парафинированных срезов тканей, фиксированных формалином, применяют разнообразные чувствительные технологии окрашивания, в том числе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иммунопероксидазную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методику, технологию АРААР (щелочная фосфатаза, </w:t>
      </w:r>
      <w:proofErr w:type="spellStart"/>
      <w:r w:rsidRPr="00F07FD9">
        <w:rPr>
          <w:rFonts w:ascii="Arial" w:eastAsiaTheme="minorHAnsi" w:hAnsi="Arial" w:cs="Arial"/>
          <w:lang w:eastAsia="en-US"/>
        </w:rPr>
        <w:t>антищелочная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фосфатаза) и </w:t>
      </w:r>
      <w:proofErr w:type="spellStart"/>
      <w:r w:rsidRPr="00F07FD9">
        <w:rPr>
          <w:rFonts w:ascii="Arial" w:eastAsiaTheme="minorHAnsi" w:hAnsi="Arial" w:cs="Arial"/>
          <w:lang w:eastAsia="en-US"/>
        </w:rPr>
        <w:t>авидин-биотиновые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методы, например, методы LSAB (Меченые </w:t>
      </w:r>
      <w:proofErr w:type="spellStart"/>
      <w:r w:rsidRPr="00F07FD9">
        <w:rPr>
          <w:rFonts w:ascii="Arial" w:eastAsiaTheme="minorHAnsi" w:hAnsi="Arial" w:cs="Arial"/>
          <w:lang w:eastAsia="en-US"/>
        </w:rPr>
        <w:t>СтрептАвидин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-Биотин). Изменения антигена, такие как нагревание в 10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цитратном буферном растворе, рН=6,0, являются обязательными. Слайды не должны высушиваться при такой обработке или при следующей процедуре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иммуногистохимического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окрашивания. Для окрашивания мазков клеток предложен метод АРААР.</w:t>
      </w:r>
    </w:p>
    <w:p w14:paraId="17290C4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CC975B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Детали методики, использованной изготовителем на парафинированных срезах тканей, фиксированных формалином, для исследования реактивности антитела для </w:t>
      </w:r>
      <w:proofErr w:type="spellStart"/>
      <w:r w:rsidRPr="00F07FD9">
        <w:rPr>
          <w:rFonts w:ascii="Arial" w:eastAsiaTheme="minorHAnsi" w:hAnsi="Arial" w:cs="Arial"/>
          <w:lang w:eastAsia="en-US"/>
        </w:rPr>
        <w:t>иммуногистохимии</w:t>
      </w:r>
      <w:proofErr w:type="spellEnd"/>
      <w:r w:rsidRPr="00F07FD9">
        <w:rPr>
          <w:rFonts w:ascii="Arial" w:eastAsiaTheme="minorHAnsi" w:hAnsi="Arial" w:cs="Arial"/>
          <w:lang w:eastAsia="en-US"/>
        </w:rPr>
        <w:t>, приведены в А.4.2.3.2-А.4.2.3.4.</w:t>
      </w:r>
    </w:p>
    <w:p w14:paraId="77B5802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901A15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А.4.2.3.2 Реагенты</w:t>
      </w:r>
    </w:p>
    <w:p w14:paraId="1E96A22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3D68F9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А.4.2.3.2.1 Перекись водорода, массовая доля 3% в дистиллированной воде.</w:t>
      </w:r>
    </w:p>
    <w:p w14:paraId="294ECE1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F456ACD" w14:textId="6AC5B472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А.4.2.3.2.2 </w:t>
      </w:r>
      <w:proofErr w:type="spellStart"/>
      <w:r w:rsidRPr="00F07FD9">
        <w:rPr>
          <w:rFonts w:ascii="Arial" w:eastAsiaTheme="minorHAnsi" w:hAnsi="Arial" w:cs="Arial"/>
          <w:lang w:eastAsia="en-US"/>
        </w:rPr>
        <w:t>Трис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-буфер солевой (TBS), состоящий из 0,05 моль/л </w:t>
      </w:r>
      <w:proofErr w:type="spellStart"/>
      <w:r w:rsidRPr="00F07FD9">
        <w:rPr>
          <w:rFonts w:ascii="Arial" w:eastAsiaTheme="minorHAnsi" w:hAnsi="Arial" w:cs="Arial"/>
          <w:lang w:eastAsia="en-US"/>
        </w:rPr>
        <w:t>Tris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/HCI и 0,15 моль/л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499B6FB3" wp14:editId="310D6AC4">
            <wp:extent cx="371475" cy="1809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при рН = 7,6.</w:t>
      </w:r>
    </w:p>
    <w:p w14:paraId="351F0C8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330203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А.4.2.3.2.3 Первичное антитело, состоящее из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мышиного античеловеческого рецептора эстрогенов, разведенного оптимально в TBS (см. А.4.2.3.4).</w:t>
      </w:r>
    </w:p>
    <w:p w14:paraId="684F8B0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E968C1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А.4.2.3.2.4 </w:t>
      </w:r>
      <w:proofErr w:type="spellStart"/>
      <w:r w:rsidRPr="00F07FD9">
        <w:rPr>
          <w:rFonts w:ascii="Arial" w:eastAsiaTheme="minorHAnsi" w:hAnsi="Arial" w:cs="Arial"/>
          <w:lang w:eastAsia="en-US"/>
        </w:rPr>
        <w:t>Биотинилированное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козье антитело к мышиным/кроличьим иммуноглобулинам, рабочий раствор.</w:t>
      </w:r>
    </w:p>
    <w:p w14:paraId="0088ACA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653CD1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Готовят этот раствор по меньшей мере за 30 мин, но не ранее, чем за 12 ч перед применением, следующим образом:</w:t>
      </w:r>
    </w:p>
    <w:p w14:paraId="27EFF06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E781B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- 5 мл TBSS, рН =7,6;</w:t>
      </w:r>
    </w:p>
    <w:p w14:paraId="5E68323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E5A68C0" w14:textId="4733E123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- 50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биотинилированного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, изолированного от аффинитета козьего антитела против мышиных/кроличьих иммуноглобулинов в 0,01 моль/л фосфатном буферном растворе, 15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6B190F13" wp14:editId="4143201D">
            <wp:extent cx="409575" cy="2286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, в количестве достаточном, чтобы довести конечную концентрацию до 10-20 мг/мл.</w:t>
      </w:r>
    </w:p>
    <w:p w14:paraId="4D717D9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5ECF78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А.4.2.3.2.5 Комплекс </w:t>
      </w:r>
      <w:proofErr w:type="spellStart"/>
      <w:r w:rsidRPr="00F07FD9">
        <w:rPr>
          <w:rFonts w:ascii="Arial" w:eastAsiaTheme="minorHAnsi" w:hAnsi="Arial" w:cs="Arial"/>
          <w:lang w:eastAsia="en-US"/>
        </w:rPr>
        <w:t>СтрептАвидин</w:t>
      </w:r>
      <w:proofErr w:type="spellEnd"/>
      <w:r w:rsidRPr="00F07FD9">
        <w:rPr>
          <w:rFonts w:ascii="Arial" w:eastAsiaTheme="minorHAnsi" w:hAnsi="Arial" w:cs="Arial"/>
          <w:lang w:eastAsia="en-US"/>
        </w:rPr>
        <w:t>-биотин/</w:t>
      </w:r>
      <w:proofErr w:type="spellStart"/>
      <w:r w:rsidRPr="00F07FD9">
        <w:rPr>
          <w:rFonts w:ascii="Arial" w:eastAsiaTheme="minorHAnsi" w:hAnsi="Arial" w:cs="Arial"/>
          <w:lang w:eastAsia="en-US"/>
        </w:rPr>
        <w:t>пероксидаза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хрена (</w:t>
      </w:r>
      <w:proofErr w:type="spellStart"/>
      <w:r w:rsidRPr="00F07FD9">
        <w:rPr>
          <w:rFonts w:ascii="Arial" w:eastAsiaTheme="minorHAnsi" w:hAnsi="Arial" w:cs="Arial"/>
          <w:lang w:eastAsia="en-US"/>
        </w:rPr>
        <w:t>StreptABComplex</w:t>
      </w:r>
      <w:proofErr w:type="spellEnd"/>
      <w:r w:rsidRPr="00F07FD9">
        <w:rPr>
          <w:rFonts w:ascii="Arial" w:eastAsiaTheme="minorHAnsi" w:hAnsi="Arial" w:cs="Arial"/>
          <w:lang w:eastAsia="en-US"/>
        </w:rPr>
        <w:t>/HRP), рабочий раствор.</w:t>
      </w:r>
    </w:p>
    <w:p w14:paraId="3EDFF94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16B552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Готовят данный раствор следующим образом:</w:t>
      </w:r>
    </w:p>
    <w:p w14:paraId="7DAEF87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C7E964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- 5 мл TBS, рН = 7,6;</w:t>
      </w:r>
    </w:p>
    <w:p w14:paraId="5F58836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1B5DD2F" w14:textId="2609F7FB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 xml:space="preserve">- 50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СтрептАвидина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(1 мг/л) в 0,01 моль/л фосфатном буферном растворе, 15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B643F11" wp14:editId="512C2811">
            <wp:extent cx="409575" cy="2286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18F33AF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629652D" w14:textId="56D2686B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- 50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биотинилированной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пероксидазы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хрена (0,25 мг/л) в 0,01 моль/л фосфатном буферном растворе, 15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0FD45010" wp14:editId="0A9A26E2">
            <wp:extent cx="409575" cy="2286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;</w:t>
      </w:r>
    </w:p>
    <w:p w14:paraId="3D1B549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C88747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А.4.2.3.2.6 Раствор </w:t>
      </w:r>
      <w:proofErr w:type="spellStart"/>
      <w:r w:rsidRPr="00F07FD9">
        <w:rPr>
          <w:rFonts w:ascii="Arial" w:eastAsiaTheme="minorHAnsi" w:hAnsi="Arial" w:cs="Arial"/>
          <w:lang w:eastAsia="en-US"/>
        </w:rPr>
        <w:t>диаминбензидинового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субстрата (DAB)</w:t>
      </w:r>
    </w:p>
    <w:p w14:paraId="79E852F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0C2C85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Растворяют 6 мг 3,3’-диаминбензидинтетрагидрохлорида в 10 мл 0,05 моль/л TBS, рН=7,6. Добавляют 0,1 мл перекиси водорода массовой долей 3% в дистиллированной воде. Если произошла преципитация, фильтруют.</w:t>
      </w:r>
    </w:p>
    <w:p w14:paraId="2B8D3EF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4B5B03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А.4.2.3.2.7 Гематоксилин</w:t>
      </w:r>
    </w:p>
    <w:p w14:paraId="2936456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211AAA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Растворяют 1 г гематоксилина, 50 г алюминий калий сульфата, 0,1 г </w:t>
      </w:r>
      <w:proofErr w:type="spellStart"/>
      <w:r w:rsidRPr="00F07FD9">
        <w:rPr>
          <w:rFonts w:ascii="Arial" w:eastAsiaTheme="minorHAnsi" w:hAnsi="Arial" w:cs="Arial"/>
          <w:lang w:eastAsia="en-US"/>
        </w:rPr>
        <w:t>йодата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натрия и 1,0 г лимонной кислоты в 750 мл дистиллированной воды. Доводят до 1000 мл дистиллированной водой.</w:t>
      </w:r>
    </w:p>
    <w:p w14:paraId="1ACCBCE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B76F96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 Методика окрашивания</w:t>
      </w:r>
    </w:p>
    <w:p w14:paraId="5E49B87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D363F8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А.4.2.3.3.1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Депарафинируют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 </w:t>
      </w:r>
      <w:proofErr w:type="spellStart"/>
      <w:r w:rsidRPr="00F07FD9">
        <w:rPr>
          <w:rFonts w:ascii="Arial" w:eastAsiaTheme="minorHAnsi" w:hAnsi="Arial" w:cs="Arial"/>
          <w:lang w:eastAsia="en-US"/>
        </w:rPr>
        <w:t>регидратируют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срезы ткани; проводят изменение антигена (см. вышеприведенную методику окрашивания)</w:t>
      </w:r>
    </w:p>
    <w:p w14:paraId="352F6AB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71DDE6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А.4.2.3.3.2 Инкубируют с перекисью водорода массовой долей 3% в дистиллированной воде в течение 5 мин.</w:t>
      </w:r>
    </w:p>
    <w:p w14:paraId="4FEABD4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B6D651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А.4.2.3.3.3 Промывают дистиллированной водой и помещают в TBS на 5 мин.</w:t>
      </w:r>
    </w:p>
    <w:p w14:paraId="2ECB80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01C6F6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А.4.2.3.3.4 Инкубируют с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мышиным античеловеческим рецептором эстрогенов, разведенным оптимально в TBS (см.А.4.2.3), в течение 20-30 мин.</w:t>
      </w:r>
    </w:p>
    <w:p w14:paraId="6DEA0A8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6A27D3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А.4.2.3.3.5 Промывают TBS и помещают в баню TBS на 5 мин.</w:t>
      </w:r>
    </w:p>
    <w:p w14:paraId="62A9716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9715E6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А.4.2.3.3.6 Инкубируют с рабочим раствором </w:t>
      </w:r>
      <w:proofErr w:type="spellStart"/>
      <w:r w:rsidRPr="00F07FD9">
        <w:rPr>
          <w:rFonts w:ascii="Arial" w:eastAsiaTheme="minorHAnsi" w:hAnsi="Arial" w:cs="Arial"/>
          <w:lang w:eastAsia="en-US"/>
        </w:rPr>
        <w:t>биотинилированного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козьего антитела к мышиным/кроличьим иммуноглобулинам в течение 20-30 мин.</w:t>
      </w:r>
    </w:p>
    <w:p w14:paraId="2D3E8BC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385114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А.4.2.3.3.7 Промывают TBS и помещают в баню TBS на 5 мин.</w:t>
      </w:r>
    </w:p>
    <w:p w14:paraId="32F4D5A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5B4D04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А.4.2.3.3.8 Инкубируют с рабочим раствором комплекса </w:t>
      </w:r>
      <w:proofErr w:type="spellStart"/>
      <w:r w:rsidRPr="00F07FD9">
        <w:rPr>
          <w:rFonts w:ascii="Arial" w:eastAsiaTheme="minorHAnsi" w:hAnsi="Arial" w:cs="Arial"/>
          <w:lang w:eastAsia="en-US"/>
        </w:rPr>
        <w:t>СтрептАвидин</w:t>
      </w:r>
      <w:proofErr w:type="spellEnd"/>
      <w:r w:rsidRPr="00F07FD9">
        <w:rPr>
          <w:rFonts w:ascii="Arial" w:eastAsiaTheme="minorHAnsi" w:hAnsi="Arial" w:cs="Arial"/>
          <w:lang w:eastAsia="en-US"/>
        </w:rPr>
        <w:t>-биотин/</w:t>
      </w:r>
      <w:proofErr w:type="spellStart"/>
      <w:r w:rsidRPr="00F07FD9">
        <w:rPr>
          <w:rFonts w:ascii="Arial" w:eastAsiaTheme="minorHAnsi" w:hAnsi="Arial" w:cs="Arial"/>
          <w:lang w:eastAsia="en-US"/>
        </w:rPr>
        <w:t>пероксидаза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хрена в течение 20-30 мин.</w:t>
      </w:r>
    </w:p>
    <w:p w14:paraId="34A78D5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AE4F53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А.4.2.3.3.9 Промывают TBS и помещают в баню TBS на 5 мин.</w:t>
      </w:r>
    </w:p>
    <w:p w14:paraId="5CA090A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6D9532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А.4.2.3.3.10 Инкубируют с раствором DAB в течение 5-15 мин (при обращении с DAB использовать перчатки).</w:t>
      </w:r>
    </w:p>
    <w:p w14:paraId="2A587AE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70BBE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А.4.2.3.3.11 Промывают дистиллированной водой.</w:t>
      </w:r>
    </w:p>
    <w:p w14:paraId="42E6472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7450E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А.4.2.3.3.12 Проводят контрастное окрашивание раствором гематоксилина в течение 30 с.</w:t>
      </w:r>
    </w:p>
    <w:p w14:paraId="4F564BB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CA41CA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А.4.2.3.3.13 Промывают водой из-под крана в течение 5 мин.</w:t>
      </w:r>
    </w:p>
    <w:p w14:paraId="7EECE73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16F4F6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А.4.2.3.3.14 Промывают дистиллированной водой в течение 5 мин.</w:t>
      </w:r>
    </w:p>
    <w:p w14:paraId="0645BFD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CDE69E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А.4.2.3.3.15 </w:t>
      </w:r>
      <w:proofErr w:type="spellStart"/>
      <w:r w:rsidRPr="00F07FD9">
        <w:rPr>
          <w:rFonts w:ascii="Arial" w:eastAsiaTheme="minorHAnsi" w:hAnsi="Arial" w:cs="Arial"/>
          <w:lang w:eastAsia="en-US"/>
        </w:rPr>
        <w:t>Дегидратируют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этанолом с объемной долей 50% в течение 3 мин, затем 3 мин с объемной долей 70% и, наконец, 3 мин с объемной долей 99%.</w:t>
      </w:r>
    </w:p>
    <w:p w14:paraId="3B90F2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2C0357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А.4.2.3.3.16 Промывают в двух сменах </w:t>
      </w:r>
      <w:proofErr w:type="spellStart"/>
      <w:r w:rsidRPr="00F07FD9">
        <w:rPr>
          <w:rFonts w:ascii="Arial" w:eastAsiaTheme="minorHAnsi" w:hAnsi="Arial" w:cs="Arial"/>
          <w:lang w:eastAsia="en-US"/>
        </w:rPr>
        <w:t>ксилена</w:t>
      </w:r>
      <w:proofErr w:type="spellEnd"/>
      <w:r w:rsidRPr="00F07FD9">
        <w:rPr>
          <w:rFonts w:ascii="Arial" w:eastAsiaTheme="minorHAnsi" w:hAnsi="Arial" w:cs="Arial"/>
          <w:lang w:eastAsia="en-US"/>
        </w:rPr>
        <w:t>, по 5 мин в каждой.</w:t>
      </w:r>
    </w:p>
    <w:p w14:paraId="62CFBB2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64C4F8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А.4.2.3.3.17 Извлекают в синтетическую гидрофобную смолу.</w:t>
      </w:r>
    </w:p>
    <w:p w14:paraId="48934E3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62BCCC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А.4.2.3.4 Предлагаемые разведения</w:t>
      </w:r>
    </w:p>
    <w:p w14:paraId="695C98E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061E9B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Оптимальное окрашивание может быть получено путем разведения антитела в TBS с рН=7,6, смешанным по объему от (1+50) до (1+75)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при исследовании на фиксированных формалином парафинированных срезах раковой опухоли грудной железы человека. Антитело может быть разведено TBS, смешанным по объемам от (1+50) до (1+100)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, для использования в технологии АРААР и </w:t>
      </w:r>
      <w:proofErr w:type="spellStart"/>
      <w:r w:rsidRPr="00F07FD9">
        <w:rPr>
          <w:rFonts w:ascii="Arial" w:eastAsiaTheme="minorHAnsi" w:hAnsi="Arial" w:cs="Arial"/>
          <w:lang w:eastAsia="en-US"/>
        </w:rPr>
        <w:t>авидин-биотиновых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методах, при исследовании фиксированных ацетоном срезов замороженной ткани раковой опухоли грудной железы.</w:t>
      </w:r>
    </w:p>
    <w:p w14:paraId="67502CF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9D9892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А.4.2.3.5 Ожидаемые результаты</w:t>
      </w:r>
    </w:p>
    <w:p w14:paraId="7970327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04D55D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Антитело интенсивно метит ядра клеток, которые, как известно, содержат большое число рецепторов эстрогенов, например, эпителиальные и </w:t>
      </w:r>
      <w:proofErr w:type="spellStart"/>
      <w:r w:rsidRPr="00F07FD9">
        <w:rPr>
          <w:rFonts w:ascii="Arial" w:eastAsiaTheme="minorHAnsi" w:hAnsi="Arial" w:cs="Arial"/>
          <w:lang w:eastAsia="en-US"/>
        </w:rPr>
        <w:t>миометриальные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клетки матки и нормальные и </w:t>
      </w:r>
      <w:proofErr w:type="spellStart"/>
      <w:r w:rsidRPr="00F07FD9">
        <w:rPr>
          <w:rFonts w:ascii="Arial" w:eastAsiaTheme="minorHAnsi" w:hAnsi="Arial" w:cs="Arial"/>
          <w:lang w:eastAsia="en-US"/>
        </w:rPr>
        <w:t>гиперплазированные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эпителиальные клетки молочных желез. Окрашивание преимущественно локализовано в ядрах без окрашивания цитоплазмы. Однако, на срезах криостата, содержащих небольшие или неопределимые количества рецепторов эстрогенов (например, эпителий кишечника, клетки сердечной мышцы, клетки мозга и соединительной ткани), отмечают отрицательные результаты с антителом. Антитело метит эпителиальные клетки карциномы грудной железы, которые </w:t>
      </w:r>
      <w:proofErr w:type="spellStart"/>
      <w:r w:rsidRPr="00F07FD9">
        <w:rPr>
          <w:rFonts w:ascii="Arial" w:eastAsiaTheme="minorHAnsi" w:hAnsi="Arial" w:cs="Arial"/>
          <w:lang w:eastAsia="en-US"/>
        </w:rPr>
        <w:t>экспрессируют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рецептор эстрогенов.</w:t>
      </w:r>
    </w:p>
    <w:p w14:paraId="11E261E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4D1F9F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Окрашивание ткани зависит от обращения и обработки ткани до окрашивания. Неправильная фиксация, замораживание, оттаивание, промывание, высушивание, нагревание, срезание или загрязнение другими тканями или жидкостями может вызвать артефакты или ложноотрицательные результаты.</w:t>
      </w:r>
    </w:p>
    <w:p w14:paraId="766F2A8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1C081C6" w14:textId="1368655B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А.5 Демонстрация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F1023F7" wp14:editId="54F6996A">
            <wp:extent cx="142875" cy="1619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b/>
          <w:bCs/>
          <w:lang w:eastAsia="en-US"/>
        </w:rPr>
        <w:t xml:space="preserve">-клеток с помощью проточной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цитометрии</w:t>
      </w:r>
      <w:proofErr w:type="spellEnd"/>
    </w:p>
    <w:p w14:paraId="713F49E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029C2D" w14:textId="16BE21B5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ПРЕДОСТЕРЕЖЕНИЕ - Реагент содержит азид натрия (15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>/л).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0940B6BE" wp14:editId="5D90CABA">
            <wp:extent cx="409575" cy="2286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b/>
          <w:bCs/>
          <w:lang w:eastAsia="en-US"/>
        </w:rPr>
        <w:t>может реагировать со свинцом или медью, образуя взрывоопасные азиды металлов. При удалении смыть большим объемом воды.</w:t>
      </w:r>
    </w:p>
    <w:p w14:paraId="132E370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F00CDDE" w14:textId="0229003F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 xml:space="preserve">А.5.1 </w:t>
      </w:r>
      <w:proofErr w:type="spellStart"/>
      <w:r w:rsidRPr="00F07FD9">
        <w:rPr>
          <w:rFonts w:ascii="Arial" w:eastAsiaTheme="minorHAnsi" w:hAnsi="Arial" w:cs="Arial"/>
          <w:b/>
          <w:bCs/>
          <w:lang w:eastAsia="en-US"/>
        </w:rPr>
        <w:t>Моноклональные</w:t>
      </w:r>
      <w:proofErr w:type="spellEnd"/>
      <w:r w:rsidRPr="00F07FD9">
        <w:rPr>
          <w:rFonts w:ascii="Arial" w:eastAsiaTheme="minorHAnsi" w:hAnsi="Arial" w:cs="Arial"/>
          <w:b/>
          <w:bCs/>
          <w:lang w:eastAsia="en-US"/>
        </w:rPr>
        <w:t xml:space="preserve"> мышиные античеловеческие</w:t>
      </w:r>
      <w:r w:rsidRPr="00F07FD9">
        <w:rPr>
          <w:rFonts w:ascii="Arial" w:eastAsiaTheme="minorHAnsi" w:hAnsi="Arial" w:cs="Arial"/>
          <w:lang w:eastAsia="en-US"/>
        </w:rPr>
        <w:t xml:space="preserve">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12AF3BBE" wp14:editId="21CAF516">
            <wp:extent cx="142875" cy="1619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b/>
          <w:bCs/>
          <w:lang w:eastAsia="en-US"/>
        </w:rPr>
        <w:t>-клетки</w:t>
      </w:r>
    </w:p>
    <w:p w14:paraId="0CE6B9C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A72ECEE" w14:textId="0032EFF2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Следующая информация относится к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мышиным античеловеческим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67939BA6" wp14:editId="0EFC4D6C">
            <wp:extent cx="142875" cy="1619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-клеткам:</w:t>
      </w:r>
    </w:p>
    <w:p w14:paraId="75F818C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DCBFCD" w14:textId="019429EC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a) идентичность продукта: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мышиные античеловеческие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24C70EEA" wp14:editId="1A95D835">
            <wp:extent cx="142875" cy="1619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-клетки, CD3;</w:t>
      </w:r>
    </w:p>
    <w:p w14:paraId="34B6E60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7A36A1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b) клон: UCHT;</w:t>
      </w:r>
    </w:p>
    <w:p w14:paraId="032AD6FF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D869CCD" w14:textId="026454A6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c) иммуноген: человеческие детские </w:t>
      </w:r>
      <w:proofErr w:type="spellStart"/>
      <w:r w:rsidRPr="00F07FD9">
        <w:rPr>
          <w:rFonts w:ascii="Arial" w:eastAsiaTheme="minorHAnsi" w:hAnsi="Arial" w:cs="Arial"/>
          <w:lang w:eastAsia="en-US"/>
        </w:rPr>
        <w:t>тимоциты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 лимфоциты от пациента с болезнью </w:t>
      </w:r>
      <w:proofErr w:type="spellStart"/>
      <w:r w:rsidRPr="00F07FD9">
        <w:rPr>
          <w:rFonts w:ascii="Arial" w:eastAsiaTheme="minorHAnsi" w:hAnsi="Arial" w:cs="Arial"/>
          <w:lang w:eastAsia="en-US"/>
        </w:rPr>
        <w:t>Сезари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(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0393F829" wp14:editId="08676A43">
            <wp:extent cx="409575" cy="1619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);</w:t>
      </w:r>
    </w:p>
    <w:p w14:paraId="503A25B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1C6962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d) источник антител: очищенные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мышиные антитела;</w:t>
      </w:r>
    </w:p>
    <w:p w14:paraId="1A7B55D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8992D18" w14:textId="6F7BE45A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e) специфичность: антитело реагирует с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EA3E581" wp14:editId="0BC714F6">
            <wp:extent cx="142875" cy="1619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-клетками в тимусе, костном мозге, периферической лимфоидной ткани и крови. Большинство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0A870EF" wp14:editId="2DD354A6">
            <wp:extent cx="142875" cy="1619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-клеток опухолей также </w:t>
      </w:r>
      <w:proofErr w:type="spellStart"/>
      <w:r w:rsidRPr="00F07FD9">
        <w:rPr>
          <w:rFonts w:ascii="Arial" w:eastAsiaTheme="minorHAnsi" w:hAnsi="Arial" w:cs="Arial"/>
          <w:lang w:eastAsia="en-US"/>
        </w:rPr>
        <w:t>экспрессируют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антиген CD3, но он отсутствует в не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69017051" wp14:editId="415A70C7">
            <wp:extent cx="142875" cy="1619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-клеточных лимфоидных опухолях. Согласуется с моделью синтеза антигена в нормальных </w:t>
      </w:r>
      <w:proofErr w:type="spellStart"/>
      <w:r w:rsidRPr="00F07FD9">
        <w:rPr>
          <w:rFonts w:ascii="Arial" w:eastAsiaTheme="minorHAnsi" w:hAnsi="Arial" w:cs="Arial"/>
          <w:lang w:eastAsia="en-US"/>
        </w:rPr>
        <w:t>тимоцитах</w:t>
      </w:r>
      <w:proofErr w:type="spellEnd"/>
      <w:r w:rsidRPr="00F07FD9">
        <w:rPr>
          <w:rFonts w:ascii="Arial" w:eastAsiaTheme="minorHAnsi" w:hAnsi="Arial" w:cs="Arial"/>
          <w:lang w:eastAsia="en-US"/>
        </w:rPr>
        <w:t>, наиболее ранним местом определения в опухолевых клетках является цитоплазма клетки;</w:t>
      </w:r>
    </w:p>
    <w:p w14:paraId="77639B3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346F20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f) состав:</w:t>
      </w:r>
    </w:p>
    <w:p w14:paraId="13C027C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DC1BA7B" w14:textId="4833E3C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- 0,05 моль/л </w:t>
      </w:r>
      <w:proofErr w:type="spellStart"/>
      <w:r w:rsidRPr="00F07FD9">
        <w:rPr>
          <w:rFonts w:ascii="Arial" w:eastAsiaTheme="minorHAnsi" w:hAnsi="Arial" w:cs="Arial"/>
          <w:lang w:eastAsia="en-US"/>
        </w:rPr>
        <w:t>Tris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/HCI буфер, 15 </w:t>
      </w:r>
      <w:proofErr w:type="spellStart"/>
      <w:r w:rsidRPr="00F07FD9">
        <w:rPr>
          <w:rFonts w:ascii="Arial" w:eastAsiaTheme="minorHAnsi" w:hAnsi="Arial" w:cs="Arial"/>
          <w:lang w:eastAsia="en-US"/>
        </w:rPr>
        <w:t>ммоль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73EB80D" wp14:editId="580B6523">
            <wp:extent cx="40957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, рН=7,2, альбумин бычьей сыворотки, массовая доля 1%;</w:t>
      </w:r>
    </w:p>
    <w:p w14:paraId="1C1BD05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1429F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</w:t>
      </w:r>
      <w:proofErr w:type="spellStart"/>
      <w:r w:rsidRPr="00F07FD9">
        <w:rPr>
          <w:rFonts w:ascii="Arial" w:eastAsiaTheme="minorHAnsi" w:hAnsi="Arial" w:cs="Arial"/>
          <w:lang w:eastAsia="en-US"/>
        </w:rPr>
        <w:t>изотип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Ig</w:t>
      </w:r>
      <w:proofErr w:type="spellEnd"/>
      <w:r w:rsidRPr="00F07FD9">
        <w:rPr>
          <w:rFonts w:ascii="Arial" w:eastAsiaTheme="minorHAnsi" w:hAnsi="Arial" w:cs="Arial"/>
          <w:lang w:eastAsia="en-US"/>
        </w:rPr>
        <w:t>: lgG1;</w:t>
      </w:r>
    </w:p>
    <w:p w14:paraId="0A99CCF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5894B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lastRenderedPageBreak/>
        <w:t>- идентичность легкой цепи: каппа;</w:t>
      </w:r>
    </w:p>
    <w:p w14:paraId="664E15C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CA689A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концентрация общего белка: 14,9 г/л;</w:t>
      </w:r>
    </w:p>
    <w:p w14:paraId="7BFC7A8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1FF56E3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очистка </w:t>
      </w:r>
      <w:proofErr w:type="spellStart"/>
      <w:r w:rsidRPr="00F07FD9">
        <w:rPr>
          <w:rFonts w:ascii="Arial" w:eastAsiaTheme="minorHAnsi" w:hAnsi="Arial" w:cs="Arial"/>
          <w:lang w:eastAsia="en-US"/>
        </w:rPr>
        <w:t>Ig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белок А колонка </w:t>
      </w:r>
      <w:proofErr w:type="spellStart"/>
      <w:r w:rsidRPr="00F07FD9">
        <w:rPr>
          <w:rFonts w:ascii="Arial" w:eastAsiaTheme="minorHAnsi" w:hAnsi="Arial" w:cs="Arial"/>
          <w:lang w:eastAsia="en-US"/>
        </w:rPr>
        <w:t>сефарозы</w:t>
      </w:r>
      <w:proofErr w:type="spellEnd"/>
      <w:r w:rsidRPr="00F07FD9">
        <w:rPr>
          <w:rFonts w:ascii="Arial" w:eastAsiaTheme="minorHAnsi" w:hAnsi="Arial" w:cs="Arial"/>
          <w:lang w:eastAsia="en-US"/>
        </w:rPr>
        <w:t>;</w:t>
      </w:r>
    </w:p>
    <w:p w14:paraId="2592712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E0C977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чистота: массовая доля приблизительно 95%;</w:t>
      </w:r>
    </w:p>
    <w:p w14:paraId="441BEBC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E30FDA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- молекула </w:t>
      </w:r>
      <w:proofErr w:type="spellStart"/>
      <w:r w:rsidRPr="00F07FD9">
        <w:rPr>
          <w:rFonts w:ascii="Arial" w:eastAsiaTheme="minorHAnsi" w:hAnsi="Arial" w:cs="Arial"/>
          <w:lang w:eastAsia="en-US"/>
        </w:rPr>
        <w:t>конъюгата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: </w:t>
      </w:r>
      <w:proofErr w:type="spellStart"/>
      <w:r w:rsidRPr="00F07FD9">
        <w:rPr>
          <w:rFonts w:ascii="Arial" w:eastAsiaTheme="minorHAnsi" w:hAnsi="Arial" w:cs="Arial"/>
          <w:lang w:eastAsia="en-US"/>
        </w:rPr>
        <w:t>флюоресцеин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изотиоцианат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изомер 1 (FITC);</w:t>
      </w:r>
    </w:p>
    <w:p w14:paraId="387F804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E69F067" w14:textId="0C03B2C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- (</w:t>
      </w:r>
      <w:r w:rsidRPr="00F07FD9">
        <w:rPr>
          <w:rFonts w:ascii="Arial" w:eastAsiaTheme="minorHAnsi" w:hAnsi="Arial" w:cs="Arial"/>
          <w:i/>
          <w:iCs/>
          <w:lang w:eastAsia="en-US"/>
        </w:rPr>
        <w:t>FIP</w:t>
      </w:r>
      <w:r w:rsidRPr="00F07FD9">
        <w:rPr>
          <w:rFonts w:ascii="Arial" w:eastAsiaTheme="minorHAnsi" w:hAnsi="Arial" w:cs="Arial"/>
          <w:lang w:eastAsia="en-US"/>
        </w:rPr>
        <w:t xml:space="preserve">)-отношение: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C27C8C1" wp14:editId="2C63CEDD">
            <wp:extent cx="152400" cy="1619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495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>/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5D4D5BAB" wp14:editId="3857AD7F">
            <wp:extent cx="152400" cy="1619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278 </w:t>
      </w:r>
      <w:proofErr w:type="spellStart"/>
      <w:r w:rsidRPr="00F07FD9">
        <w:rPr>
          <w:rFonts w:ascii="Arial" w:eastAsiaTheme="minorHAnsi" w:hAnsi="Arial" w:cs="Arial"/>
          <w:lang w:eastAsia="en-US"/>
        </w:rPr>
        <w:t>нм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=1,0±0,1 соответственно молярному отношению FITC/белок приблизительно 5;</w:t>
      </w:r>
    </w:p>
    <w:p w14:paraId="11385E8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8E78D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g) обращение и хранение: стабильны в течение трех лет после выделения при температуре от 2 °С до 8 °С.</w:t>
      </w:r>
    </w:p>
    <w:p w14:paraId="06BDD0B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FD518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b/>
          <w:bCs/>
          <w:lang w:eastAsia="en-US"/>
        </w:rPr>
        <w:t>А.5.2 Предназначенное применение</w:t>
      </w:r>
    </w:p>
    <w:p w14:paraId="232C84D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DF1618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А.5.2.1 Общие положения</w:t>
      </w:r>
    </w:p>
    <w:p w14:paraId="3036888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7215846" w14:textId="4861B4A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Антитело предназначено для применения в проточной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цитометрии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. Антитело может быть использовано для качественного и количественного обнаружения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BC29ADD" wp14:editId="0DF34318">
            <wp:extent cx="142875" cy="1619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-клеток.</w:t>
      </w:r>
    </w:p>
    <w:p w14:paraId="1544411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682942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А.5.2.2 Тип (типы) материала</w:t>
      </w:r>
    </w:p>
    <w:p w14:paraId="0A7B8DB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0F879A0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Антитело может быть применено на суспензиях свежих и фиксированных клеток, фиксированных ацетоном срезах криостата, на клеточных мазках.</w:t>
      </w:r>
    </w:p>
    <w:p w14:paraId="175EC84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A369E9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А.5.2.3 Методика исследования реактивности антитела для проточной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цитометрии</w:t>
      </w:r>
      <w:proofErr w:type="spellEnd"/>
    </w:p>
    <w:p w14:paraId="0C6DF8CC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1EE4E9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Детали методики, использованной изготовителем, следующие:</w:t>
      </w:r>
    </w:p>
    <w:p w14:paraId="5E4A2F0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EFB0BA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а) Собирают венозную кровь в пробирку, содержащую антикоагулянт.</w:t>
      </w:r>
    </w:p>
    <w:p w14:paraId="5FFB56B7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83AA224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b) Изолируют одноядерные клетки путем центрифугирования на разделительной среде; в ином случае </w:t>
      </w:r>
      <w:proofErr w:type="spellStart"/>
      <w:r w:rsidRPr="00F07FD9">
        <w:rPr>
          <w:rFonts w:ascii="Arial" w:eastAsiaTheme="minorHAnsi" w:hAnsi="Arial" w:cs="Arial"/>
          <w:lang w:eastAsia="en-US"/>
        </w:rPr>
        <w:t>лизируют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эритроциты после стадии инкубации, указанной в перечислении d).</w:t>
      </w:r>
    </w:p>
    <w:p w14:paraId="0C6B1BF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41D9BBF" w14:textId="1B6E7215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c) Промывают одноядерные клетки дважды с RPMI 1640 или </w:t>
      </w:r>
      <w:proofErr w:type="spellStart"/>
      <w:r w:rsidRPr="00F07FD9">
        <w:rPr>
          <w:rFonts w:ascii="Arial" w:eastAsiaTheme="minorHAnsi" w:hAnsi="Arial" w:cs="Arial"/>
          <w:lang w:eastAsia="en-US"/>
        </w:rPr>
        <w:t>забуференным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фосфатом солевым раствором (PBS) (0,1 моль/л фосфата, 0,15 моль/л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73BC1821" wp14:editId="053D4AE2">
            <wp:extent cx="371475" cy="180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, </w:t>
      </w:r>
      <w:proofErr w:type="spellStart"/>
      <w:r w:rsidRPr="00F07FD9">
        <w:rPr>
          <w:rFonts w:ascii="Arial" w:eastAsiaTheme="minorHAnsi" w:hAnsi="Arial" w:cs="Arial"/>
          <w:lang w:eastAsia="en-US"/>
        </w:rPr>
        <w:t>pH</w:t>
      </w:r>
      <w:proofErr w:type="spellEnd"/>
      <w:r w:rsidRPr="00F07FD9">
        <w:rPr>
          <w:rFonts w:ascii="Arial" w:eastAsiaTheme="minorHAnsi" w:hAnsi="Arial" w:cs="Arial"/>
          <w:lang w:eastAsia="en-US"/>
        </w:rPr>
        <w:t>=7,4).</w:t>
      </w:r>
    </w:p>
    <w:p w14:paraId="7EEC91E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4A62881" w14:textId="40BF612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d) К 10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конъюгированным FITC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моноклональным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мышиным анти-человеческим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11F68FF8" wp14:editId="6E2C9E3C">
            <wp:extent cx="142875" cy="161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-клеткам, реагент CD3, добавляют суспензию клеток, содержащую 1·10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AFDD8D0" wp14:editId="44557871">
            <wp:extent cx="10477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 xml:space="preserve"> клеток (обычно около 100 мл), и перемешивают. Инкубируют в темноте при температуре 4 °С в течение 30 мин [для двойного окрашивания в то же время должно быть добавлено антитело, конъюгированное R-</w:t>
      </w:r>
      <w:proofErr w:type="spellStart"/>
      <w:r w:rsidRPr="00F07FD9">
        <w:rPr>
          <w:rFonts w:ascii="Arial" w:eastAsiaTheme="minorHAnsi" w:hAnsi="Arial" w:cs="Arial"/>
          <w:lang w:eastAsia="en-US"/>
        </w:rPr>
        <w:t>фикоэритрином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(RPE)].</w:t>
      </w:r>
    </w:p>
    <w:p w14:paraId="056CB1C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5EC3199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е) Промывают дважды PBS+2% альбумин бычьей сыворотки; </w:t>
      </w:r>
      <w:proofErr w:type="spellStart"/>
      <w:r w:rsidRPr="00F07FD9">
        <w:rPr>
          <w:rFonts w:ascii="Arial" w:eastAsiaTheme="minorHAnsi" w:hAnsi="Arial" w:cs="Arial"/>
          <w:lang w:eastAsia="en-US"/>
        </w:rPr>
        <w:t>ресуспендируют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клетки в соответствующей жидкости для анализа на проточном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цитометре</w:t>
      </w:r>
      <w:proofErr w:type="spellEnd"/>
      <w:r w:rsidRPr="00F07FD9">
        <w:rPr>
          <w:rFonts w:ascii="Arial" w:eastAsiaTheme="minorHAnsi" w:hAnsi="Arial" w:cs="Arial"/>
          <w:lang w:eastAsia="en-US"/>
        </w:rPr>
        <w:t>.</w:t>
      </w:r>
    </w:p>
    <w:p w14:paraId="4137976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CB8BFB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f) </w:t>
      </w:r>
      <w:proofErr w:type="gramStart"/>
      <w:r w:rsidRPr="00F07FD9">
        <w:rPr>
          <w:rFonts w:ascii="Arial" w:eastAsiaTheme="minorHAnsi" w:hAnsi="Arial" w:cs="Arial"/>
          <w:lang w:eastAsia="en-US"/>
        </w:rPr>
        <w:t>В</w:t>
      </w:r>
      <w:proofErr w:type="gramEnd"/>
      <w:r w:rsidRPr="00F07FD9">
        <w:rPr>
          <w:rFonts w:ascii="Arial" w:eastAsiaTheme="minorHAnsi" w:hAnsi="Arial" w:cs="Arial"/>
          <w:lang w:eastAsia="en-US"/>
        </w:rPr>
        <w:t xml:space="preserve"> качестве негативного контроля используют иное </w:t>
      </w:r>
      <w:proofErr w:type="spellStart"/>
      <w:r w:rsidRPr="00F07FD9">
        <w:rPr>
          <w:rFonts w:ascii="Arial" w:eastAsiaTheme="minorHAnsi" w:hAnsi="Arial" w:cs="Arial"/>
          <w:lang w:eastAsia="en-US"/>
        </w:rPr>
        <w:t>моноклональное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антитело, конъюгированное FITC (</w:t>
      </w:r>
      <w:proofErr w:type="spellStart"/>
      <w:r w:rsidRPr="00F07FD9">
        <w:rPr>
          <w:rFonts w:ascii="Arial" w:eastAsiaTheme="minorHAnsi" w:hAnsi="Arial" w:cs="Arial"/>
          <w:lang w:eastAsia="en-US"/>
        </w:rPr>
        <w:t>флюоресцеин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Pr="00F07FD9">
        <w:rPr>
          <w:rFonts w:ascii="Arial" w:eastAsiaTheme="minorHAnsi" w:hAnsi="Arial" w:cs="Arial"/>
          <w:lang w:eastAsia="en-US"/>
        </w:rPr>
        <w:t>изотиоцианатом</w:t>
      </w:r>
      <w:proofErr w:type="spellEnd"/>
      <w:r w:rsidRPr="00F07FD9">
        <w:rPr>
          <w:rFonts w:ascii="Arial" w:eastAsiaTheme="minorHAnsi" w:hAnsi="Arial" w:cs="Arial"/>
          <w:lang w:eastAsia="en-US"/>
        </w:rPr>
        <w:t>)</w:t>
      </w:r>
    </w:p>
    <w:p w14:paraId="26A05D4D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12809D1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g) Фиксируют осажденные клетки, перемешивая с 0,3 мл </w:t>
      </w:r>
      <w:proofErr w:type="spellStart"/>
      <w:r w:rsidRPr="00F07FD9">
        <w:rPr>
          <w:rFonts w:ascii="Arial" w:eastAsiaTheme="minorHAnsi" w:hAnsi="Arial" w:cs="Arial"/>
          <w:lang w:eastAsia="en-US"/>
        </w:rPr>
        <w:t>параформальдегида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массовой долей 1% в PBS. При хранении в темноте при температуре 4 °С фиксированные клетки могут содержаться до двух недель.</w:t>
      </w:r>
    </w:p>
    <w:p w14:paraId="280D95A2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C322153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h) Проводят анализ на проточном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цитометре</w:t>
      </w:r>
      <w:proofErr w:type="spellEnd"/>
      <w:r w:rsidRPr="00F07FD9">
        <w:rPr>
          <w:rFonts w:ascii="Arial" w:eastAsiaTheme="minorHAnsi" w:hAnsi="Arial" w:cs="Arial"/>
          <w:lang w:eastAsia="en-US"/>
        </w:rPr>
        <w:t>.</w:t>
      </w:r>
    </w:p>
    <w:p w14:paraId="1A352CD8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5061D15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А.5.2.4 Предлагаемое разведение</w:t>
      </w:r>
    </w:p>
    <w:p w14:paraId="5696747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4FEB7CB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Антитело должно использоваться для проточной </w:t>
      </w:r>
      <w:proofErr w:type="spellStart"/>
      <w:r w:rsidRPr="00F07FD9">
        <w:rPr>
          <w:rFonts w:ascii="Arial" w:eastAsiaTheme="minorHAnsi" w:hAnsi="Arial" w:cs="Arial"/>
          <w:lang w:eastAsia="en-US"/>
        </w:rPr>
        <w:t>цитометрии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 в концентрированной форме (10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 xml:space="preserve">/тест). Для применения на срезах криостата и мазках клеток антитело должно быть смешано с подходящим разбавителем в соотношении объемов (1+50) </w:t>
      </w:r>
      <w:proofErr w:type="spellStart"/>
      <w:r w:rsidRPr="00F07FD9">
        <w:rPr>
          <w:rFonts w:ascii="Arial" w:eastAsiaTheme="minorHAnsi" w:hAnsi="Arial" w:cs="Arial"/>
          <w:lang w:eastAsia="en-US"/>
        </w:rPr>
        <w:t>мкл</w:t>
      </w:r>
      <w:proofErr w:type="spellEnd"/>
      <w:r w:rsidRPr="00F07FD9">
        <w:rPr>
          <w:rFonts w:ascii="Arial" w:eastAsiaTheme="minorHAnsi" w:hAnsi="Arial" w:cs="Arial"/>
          <w:lang w:eastAsia="en-US"/>
        </w:rPr>
        <w:t>.</w:t>
      </w:r>
    </w:p>
    <w:p w14:paraId="1ADDDA4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C0BFFCE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А.5.2.5 Ожидаемые результаты</w:t>
      </w:r>
    </w:p>
    <w:p w14:paraId="03616126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D8A414" w14:textId="7794549C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 xml:space="preserve">Антитело обнаруживает CD3 молекулу на поверхности </w:t>
      </w:r>
      <w:r w:rsidRPr="00F07FD9">
        <w:rPr>
          <w:rFonts w:ascii="Arial" w:eastAsiaTheme="minorHAnsi" w:hAnsi="Arial" w:cs="Arial"/>
          <w:noProof/>
        </w:rPr>
        <w:drawing>
          <wp:inline distT="0" distB="0" distL="0" distR="0" wp14:anchorId="3773747C" wp14:editId="173F6F0F">
            <wp:extent cx="142875" cy="161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FD9">
        <w:rPr>
          <w:rFonts w:ascii="Arial" w:eastAsiaTheme="minorHAnsi" w:hAnsi="Arial" w:cs="Arial"/>
          <w:lang w:eastAsia="en-US"/>
        </w:rPr>
        <w:t>-клеток. При оценке окрашивания срезов криостатов и мазков клеток продукт реакции должен быть локализован на мембране плазмы.</w:t>
      </w:r>
    </w:p>
    <w:p w14:paraId="171B72BA" w14:textId="77777777" w:rsidR="00F07FD9" w:rsidRP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69FB49C" w14:textId="0BF290CD" w:rsidR="00F07FD9" w:rsidRDefault="00F07FD9" w:rsidP="00F07FD9">
      <w:pPr>
        <w:suppressAutoHyphens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F07FD9">
        <w:rPr>
          <w:rFonts w:ascii="Arial" w:eastAsiaTheme="minorHAnsi" w:hAnsi="Arial" w:cs="Arial"/>
          <w:lang w:eastAsia="en-US"/>
        </w:rPr>
        <w:t>Окрашивание ткани зависит от обращения и обработки ткани до окрашивания. Неправильная фиксация, замораживание, оттаивание, промывание, высушивание, нагревание, получение срезов или загрязнение другими тканями или жидкостями может вызвать образование артефактов или ложноотрицательные результаты</w:t>
      </w:r>
      <w:r>
        <w:rPr>
          <w:rFonts w:ascii="Arial" w:eastAsiaTheme="minorHAnsi" w:hAnsi="Arial" w:cs="Arial"/>
          <w:lang w:eastAsia="en-US"/>
        </w:rPr>
        <w:t>.</w:t>
      </w:r>
    </w:p>
    <w:p w14:paraId="73A9AF48" w14:textId="77777777" w:rsidR="00F07FD9" w:rsidRDefault="00F07FD9">
      <w:pPr>
        <w:suppressAutoHyphens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br w:type="page"/>
      </w:r>
    </w:p>
    <w:p w14:paraId="57E09AC3" w14:textId="77777777" w:rsidR="005773E9" w:rsidRDefault="006F2309">
      <w:pPr>
        <w:pStyle w:val="1"/>
        <w:spacing w:before="0"/>
        <w:jc w:val="center"/>
        <w:rPr>
          <w:rFonts w:ascii="Arial" w:hAnsi="Arial" w:cs="Arial"/>
          <w:color w:val="auto"/>
        </w:rPr>
      </w:pPr>
      <w:bookmarkStart w:id="5" w:name="_Toc40906287"/>
      <w:r>
        <w:rPr>
          <w:rFonts w:ascii="Arial" w:hAnsi="Arial" w:cs="Arial"/>
          <w:color w:val="auto"/>
        </w:rPr>
        <w:lastRenderedPageBreak/>
        <w:t>Приложение ДА</w:t>
      </w:r>
      <w:r>
        <w:rPr>
          <w:rFonts w:ascii="Arial" w:hAnsi="Arial" w:cs="Arial"/>
          <w:color w:val="auto"/>
        </w:rPr>
        <w:br/>
      </w:r>
      <w:r>
        <w:rPr>
          <w:rFonts w:ascii="Arial" w:hAnsi="Arial" w:cs="Arial"/>
          <w:b w:val="0"/>
          <w:color w:val="auto"/>
        </w:rPr>
        <w:t>(справочное)</w:t>
      </w:r>
      <w:r>
        <w:rPr>
          <w:rFonts w:ascii="Arial" w:hAnsi="Arial" w:cs="Arial"/>
          <w:color w:val="auto"/>
        </w:rPr>
        <w:br/>
        <w:t>Сведения о соответствии ссылочных международных стандартов национальным стандартам</w:t>
      </w:r>
      <w:bookmarkEnd w:id="5"/>
    </w:p>
    <w:p w14:paraId="5E9E1FBA" w14:textId="77777777" w:rsidR="005773E9" w:rsidRDefault="005773E9">
      <w:pPr>
        <w:spacing w:line="360" w:lineRule="auto"/>
        <w:rPr>
          <w:rFonts w:ascii="Arial" w:hAnsi="Arial" w:cs="Arial"/>
          <w:spacing w:val="40"/>
        </w:rPr>
      </w:pPr>
    </w:p>
    <w:p w14:paraId="73340A31" w14:textId="77777777" w:rsidR="005773E9" w:rsidRDefault="005773E9">
      <w:pPr>
        <w:spacing w:line="360" w:lineRule="auto"/>
        <w:rPr>
          <w:rFonts w:ascii="Arial" w:hAnsi="Arial" w:cs="Arial"/>
          <w:spacing w:val="40"/>
        </w:rPr>
      </w:pPr>
    </w:p>
    <w:p w14:paraId="2E780206" w14:textId="77777777" w:rsidR="005773E9" w:rsidRDefault="006F230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pacing w:val="40"/>
        </w:rPr>
        <w:t>Таблица</w:t>
      </w:r>
      <w:r>
        <w:rPr>
          <w:rFonts w:ascii="Arial" w:hAnsi="Arial" w:cs="Arial"/>
        </w:rPr>
        <w:t xml:space="preserve"> ДА.1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120"/>
        <w:gridCol w:w="1470"/>
        <w:gridCol w:w="4485"/>
      </w:tblGrid>
      <w:tr w:rsidR="00F07FD9" w:rsidRPr="00F07FD9" w14:paraId="5543C5ED" w14:textId="77777777" w:rsidTr="00202CF4"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BB1048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8959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E0A74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</w:p>
        </w:tc>
      </w:tr>
      <w:tr w:rsidR="00F07FD9" w:rsidRPr="00F07FD9" w14:paraId="003E782C" w14:textId="77777777" w:rsidTr="00202CF4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0D015F" w14:textId="00DB11B7" w:rsidR="00F07FD9" w:rsidRPr="00F07FD9" w:rsidRDefault="00F07FD9" w:rsidP="00F07FD9">
            <w:pPr>
              <w:spacing w:line="360" w:lineRule="auto"/>
              <w:jc w:val="center"/>
            </w:pPr>
            <w:r w:rsidRPr="00F07FD9">
              <w:t>Обозначение ссылочного международного стандарта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FA5F0C" w14:textId="77777777" w:rsidR="00F07FD9" w:rsidRPr="00F07FD9" w:rsidRDefault="00F07FD9" w:rsidP="00F07FD9">
            <w:pPr>
              <w:spacing w:line="360" w:lineRule="auto"/>
              <w:jc w:val="center"/>
            </w:pPr>
            <w:r w:rsidRPr="00F07FD9">
              <w:t>Степень соответствия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1D186B" w14:textId="6F4340E4" w:rsidR="00F07FD9" w:rsidRPr="00F07FD9" w:rsidRDefault="00F07FD9" w:rsidP="00F07FD9">
            <w:pPr>
              <w:spacing w:line="360" w:lineRule="auto"/>
              <w:jc w:val="center"/>
            </w:pPr>
            <w:r w:rsidRPr="00F07FD9">
              <w:t>Обозначение и наименование соответствующего национального стандарта</w:t>
            </w:r>
          </w:p>
        </w:tc>
      </w:tr>
      <w:tr w:rsidR="00F07FD9" w:rsidRPr="00F07FD9" w14:paraId="57F3E958" w14:textId="77777777" w:rsidTr="00202CF4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94E568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rPr>
                <w:bCs/>
              </w:rPr>
              <w:t>ISO 80000-1:2009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31B42E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>-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DA1210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 xml:space="preserve">* </w:t>
            </w:r>
          </w:p>
        </w:tc>
      </w:tr>
      <w:tr w:rsidR="00F07FD9" w:rsidRPr="00F07FD9" w14:paraId="28A1FE20" w14:textId="77777777" w:rsidTr="00202CF4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4BC6A3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>ISO 80000-9:2019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1023BF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>-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3829A1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 xml:space="preserve">* </w:t>
            </w:r>
          </w:p>
        </w:tc>
      </w:tr>
      <w:tr w:rsidR="00F07FD9" w:rsidRPr="00F07FD9" w14:paraId="0CA8D358" w14:textId="77777777" w:rsidTr="00202CF4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9ED62F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rPr>
                <w:bCs/>
              </w:rPr>
              <w:t>ISO \ 18113-1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8BAAA2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>-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1DCF5C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rPr>
                <w:bCs/>
              </w:rPr>
              <w:t xml:space="preserve">ГОСТ Р ИСО 18113-1-2015 </w:t>
            </w:r>
          </w:p>
        </w:tc>
      </w:tr>
      <w:tr w:rsidR="00F07FD9" w:rsidRPr="00F07FD9" w14:paraId="13BF6102" w14:textId="77777777" w:rsidTr="00202CF4"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C07F0E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rPr>
                <w:bCs/>
              </w:rPr>
              <w:t>ISO \ 18113-2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D71CBE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>-</w:t>
            </w:r>
          </w:p>
        </w:tc>
        <w:tc>
          <w:tcPr>
            <w:tcW w:w="4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768B00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rPr>
                <w:bCs/>
              </w:rPr>
              <w:t xml:space="preserve">ГОСТ Р ИСО 18113-2-2015 </w:t>
            </w:r>
          </w:p>
        </w:tc>
      </w:tr>
      <w:tr w:rsidR="00F07FD9" w:rsidRPr="00F07FD9" w14:paraId="0B0C1EC5" w14:textId="77777777" w:rsidTr="00202CF4">
        <w:tc>
          <w:tcPr>
            <w:tcW w:w="90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F953AF" w14:textId="77777777" w:rsidR="00F07FD9" w:rsidRPr="00F07FD9" w:rsidRDefault="00F07FD9" w:rsidP="00F07FD9">
            <w:pPr>
              <w:spacing w:line="360" w:lineRule="auto"/>
              <w:ind w:firstLine="720"/>
              <w:jc w:val="both"/>
            </w:pPr>
            <w:r w:rsidRPr="00F07FD9">
              <w:t xml:space="preserve">* Соответствующий национальный стандарт отсутствует. До его утверждения рекомендуется использовать перевод на русский язык данного международного стандарта. </w:t>
            </w:r>
          </w:p>
        </w:tc>
      </w:tr>
    </w:tbl>
    <w:p w14:paraId="6B0515E6" w14:textId="77777777" w:rsidR="00F07FD9" w:rsidRPr="00F07FD9" w:rsidRDefault="00F07FD9" w:rsidP="00F07FD9">
      <w:pPr>
        <w:spacing w:line="360" w:lineRule="auto"/>
        <w:ind w:firstLine="720"/>
        <w:jc w:val="both"/>
      </w:pPr>
    </w:p>
    <w:p w14:paraId="393ED1A3" w14:textId="77777777" w:rsidR="005773E9" w:rsidRDefault="006F2309">
      <w:pPr>
        <w:spacing w:line="360" w:lineRule="auto"/>
        <w:ind w:firstLine="720"/>
        <w:jc w:val="both"/>
        <w:rPr>
          <w:rFonts w:ascii="Arial" w:hAnsi="Arial" w:cs="Arial"/>
        </w:rPr>
      </w:pPr>
      <w:r>
        <w:br w:type="page"/>
      </w:r>
    </w:p>
    <w:p w14:paraId="39FD1F86" w14:textId="77777777" w:rsidR="005773E9" w:rsidRPr="00D34DFF" w:rsidRDefault="006F2309">
      <w:pPr>
        <w:pStyle w:val="1"/>
        <w:spacing w:before="240" w:after="240"/>
        <w:jc w:val="center"/>
        <w:rPr>
          <w:rFonts w:ascii="Arial" w:hAnsi="Arial" w:cs="Arial"/>
          <w:color w:val="auto"/>
          <w:lang w:val="en-US"/>
        </w:rPr>
      </w:pPr>
      <w:bookmarkStart w:id="6" w:name="_Toc40906288"/>
      <w:r>
        <w:rPr>
          <w:rFonts w:ascii="Arial" w:hAnsi="Arial" w:cs="Arial"/>
          <w:color w:val="auto"/>
        </w:rPr>
        <w:lastRenderedPageBreak/>
        <w:t>Библиография</w:t>
      </w:r>
      <w:bookmarkEnd w:id="6"/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85"/>
        <w:gridCol w:w="8490"/>
      </w:tblGrid>
      <w:tr w:rsidR="00F07FD9" w:rsidRPr="00F07FD9" w14:paraId="01FA9FF6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E249B4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3233D0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</w:p>
        </w:tc>
      </w:tr>
      <w:tr w:rsidR="00F07FD9" w:rsidRPr="00E043B7" w14:paraId="07754D88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D75B57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D7CA37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The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colour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index, 3rd ed. The society of dyers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colourists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>, Bradford, U.K., 1971</w:t>
            </w:r>
          </w:p>
        </w:tc>
      </w:tr>
      <w:tr w:rsidR="00F07FD9" w:rsidRPr="00E043B7" w14:paraId="22ECC81E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2C0F6B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[2]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58561F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>Council directive of 27th June 1967 on the approximation of laws, regulations and administrative provisions relating to the classification, packaging and labelling of dangerous substances (67/548/EEC)</w:t>
            </w:r>
          </w:p>
        </w:tc>
      </w:tr>
      <w:tr w:rsidR="00F07FD9" w:rsidRPr="00E043B7" w14:paraId="71C94AE9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C5ED1B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[3]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260636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ECCLS: Dye standards, Part II.5: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Pararosaniline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(Cl 42500)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Histochem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J. (1992) 24, pp.233-235</w:t>
            </w:r>
          </w:p>
        </w:tc>
      </w:tr>
      <w:tr w:rsidR="00F07FD9" w:rsidRPr="00E043B7" w14:paraId="004C4041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4BD23E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[4]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CD6944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Al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Saati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</w:t>
            </w:r>
            <w:r w:rsidRPr="00F07FD9">
              <w:rPr>
                <w:rFonts w:ascii="Arial" w:eastAsia="Cambria" w:hAnsi="Arial" w:cs="Arial"/>
                <w:lang w:eastAsia="en-US" w:bidi="en-US"/>
              </w:rPr>
              <w:t>Т</w:t>
            </w: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Clamens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S., Cohen-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Knafo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E., Faye J.C., Prats H.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Coindre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J.M., Production of monoclonal antibodies to human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oestrogen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receptor protein (ER) using recombinant ER (RER),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Int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 Cancer (1993) 55, pp.651-654</w:t>
            </w:r>
          </w:p>
        </w:tc>
      </w:tr>
      <w:tr w:rsidR="00F07FD9" w:rsidRPr="00E043B7" w14:paraId="6FD9ACE8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49BC55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[5]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CABDA2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Beverley P.C.L.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Callard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R.E., Distinctive functional characteristics of human T lymphocytes defined by E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rosetting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or a monoclonal anti-T cell antibody,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Eur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Immunol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(1981) 11, pp.329-334</w:t>
            </w:r>
          </w:p>
        </w:tc>
      </w:tr>
      <w:tr w:rsidR="00F07FD9" w:rsidRPr="00E043B7" w14:paraId="7ECEB935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B32AA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[6]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634EB1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Campana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D., Thompson J.S.,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Amlot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P., Brown S.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Janossy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G., The cytoplasmic expression of CD3antigens in normal and malignant cells of the T lymphoid lineage, J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Immunol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(1987) 138, pp.648-655</w:t>
            </w:r>
          </w:p>
        </w:tc>
      </w:tr>
      <w:tr w:rsidR="00F07FD9" w:rsidRPr="00E043B7" w14:paraId="256AA27D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A42F72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[7]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D18BB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EC Commission Directive 1976-07-14 76/907/EEC. Off J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Eur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Comm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(1996: no L) 360: pp.1-18 and 405-424</w:t>
            </w:r>
          </w:p>
        </w:tc>
      </w:tr>
      <w:tr w:rsidR="00F07FD9" w:rsidRPr="00E043B7" w14:paraId="0FA7AF77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E8661D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[8]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A20BB4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EC Commission Directive 1983-07-29 83/467/EEC. Off J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Eur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Comm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(1983: no L) 257, pp.1-33</w:t>
            </w:r>
          </w:p>
        </w:tc>
      </w:tr>
      <w:tr w:rsidR="00F07FD9" w:rsidRPr="00E043B7" w14:paraId="510210AB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032F1D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[9]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333EEF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Erber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W.N., Pinching A.J. and Mason D.Y.,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Immunocytochemical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detection of T cell and </w:t>
            </w:r>
            <w:r w:rsidRPr="00F07FD9">
              <w:rPr>
                <w:rFonts w:ascii="Arial" w:eastAsia="Cambria" w:hAnsi="Arial" w:cs="Arial"/>
                <w:lang w:eastAsia="en-US" w:bidi="en-US"/>
              </w:rPr>
              <w:t>В</w:t>
            </w: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cell populations in routine blood smears, Lancet (1984) 1, pp.1042-1045</w:t>
            </w:r>
          </w:p>
        </w:tc>
      </w:tr>
      <w:tr w:rsidR="00F07FD9" w:rsidRPr="00E043B7" w14:paraId="35113857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4652A7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[10]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DDA50A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Erber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W.N.,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Mynheer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L.C. and Mason D.Y., APAAP Labelling of blood and bone-marrow samples for phenotyping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leukaemia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>, Lancet (1986) 1, pp.761-765</w:t>
            </w:r>
          </w:p>
        </w:tc>
      </w:tr>
      <w:tr w:rsidR="00F07FD9" w:rsidRPr="00E043B7" w14:paraId="514966F8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AB34EC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lastRenderedPageBreak/>
              <w:t xml:space="preserve">[11]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1A4156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Hoyer P.E., Lyon H.,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Jakobsen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P. and Andersen A.P., Standardized Methyl Green-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Pyronin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Y procedures using pure dyes,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Histochem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 (1986) 18, pp.90-94</w:t>
            </w:r>
          </w:p>
        </w:tc>
      </w:tr>
      <w:tr w:rsidR="00F07FD9" w:rsidRPr="00E043B7" w14:paraId="1BD7B2C8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001323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[12]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EACD6E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Jakobsen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P., Andersen A.P. and Lyon H., Preparation and characterization of methyl green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tetrafluoroborate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Histochemistry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(1984) 81, pp.177-179</w:t>
            </w:r>
          </w:p>
        </w:tc>
      </w:tr>
      <w:tr w:rsidR="00F07FD9" w:rsidRPr="00E043B7" w14:paraId="386E41C5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F25083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[13]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0791B9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and assay of pure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pyronin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Y,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Histochemistry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(1984) 81, pp.99-101* </w:t>
            </w:r>
          </w:p>
        </w:tc>
      </w:tr>
      <w:tr w:rsidR="00F07FD9" w:rsidRPr="00F07FD9" w14:paraId="4E0EC60E" w14:textId="77777777" w:rsidTr="00202CF4"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DFB0E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_______________ </w:t>
            </w:r>
          </w:p>
          <w:p w14:paraId="76F535C7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>* Текст документа соответствует оригиналу. - Примечание изготовителя базы данных.</w:t>
            </w:r>
          </w:p>
          <w:p w14:paraId="381D1080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</w:p>
        </w:tc>
      </w:tr>
      <w:tr w:rsidR="00F07FD9" w:rsidRPr="00E043B7" w14:paraId="3473FBD3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D0F2D6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[14]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0B6DD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Kumar V., Green S., Stack G., Berry M.,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Jin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J.R.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Chambon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P., Functional domains of the human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oestrogen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receptor, Cell (1987) 51, pp.941-951</w:t>
            </w:r>
          </w:p>
        </w:tc>
      </w:tr>
      <w:tr w:rsidR="00F07FD9" w:rsidRPr="00E043B7" w14:paraId="4478B30E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90A8B0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[15]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A45C61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Lal R.B., Edison L.J. and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Chused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TM. Fixation and long-term storage of human lymphocytes for surface marker analysis by flow cytometry, Cytometry (1988) 9, pp.213-219</w:t>
            </w:r>
          </w:p>
        </w:tc>
      </w:tr>
      <w:tr w:rsidR="00F07FD9" w:rsidRPr="00E043B7" w14:paraId="5A4FBB28" w14:textId="77777777" w:rsidTr="00202CF4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79F44E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eastAsia="en-US" w:bidi="en-US"/>
              </w:rPr>
            </w:pPr>
            <w:r w:rsidRPr="00F07FD9">
              <w:rPr>
                <w:rFonts w:ascii="Arial" w:eastAsia="Cambria" w:hAnsi="Arial" w:cs="Arial"/>
                <w:lang w:eastAsia="en-US" w:bidi="en-US"/>
              </w:rPr>
              <w:t xml:space="preserve">[16] </w:t>
            </w: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9E3479" w14:textId="77777777" w:rsidR="00F07FD9" w:rsidRPr="00F07FD9" w:rsidRDefault="00F07FD9" w:rsidP="00F07FD9">
            <w:pPr>
              <w:suppressAutoHyphens w:val="0"/>
              <w:rPr>
                <w:rFonts w:ascii="Arial" w:eastAsia="Cambria" w:hAnsi="Arial" w:cs="Arial"/>
                <w:lang w:val="en-US" w:eastAsia="en-US" w:bidi="en-US"/>
              </w:rPr>
            </w:pP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Swerdlow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S.H.,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Angermeier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P.A. and Hartman A.L., </w:t>
            </w:r>
            <w:proofErr w:type="spellStart"/>
            <w:r w:rsidRPr="00F07FD9">
              <w:rPr>
                <w:rFonts w:ascii="Arial" w:eastAsia="Cambria" w:hAnsi="Arial" w:cs="Arial"/>
                <w:lang w:val="en-US" w:eastAsia="en-US" w:bidi="en-US"/>
              </w:rPr>
              <w:t>Intrathymic</w:t>
            </w:r>
            <w:proofErr w:type="spellEnd"/>
            <w:r w:rsidRPr="00F07FD9">
              <w:rPr>
                <w:rFonts w:ascii="Arial" w:eastAsia="Cambria" w:hAnsi="Arial" w:cs="Arial"/>
                <w:lang w:val="en-US" w:eastAsia="en-US" w:bidi="en-US"/>
              </w:rPr>
              <w:t xml:space="preserve"> ontogeny of the T-cell receptor associated CD3 (T3) antigen, Lab Invest (1988) 58, pp.421-427 </w:t>
            </w:r>
          </w:p>
        </w:tc>
      </w:tr>
    </w:tbl>
    <w:p w14:paraId="77939FE0" w14:textId="77777777" w:rsidR="005773E9" w:rsidRPr="00D34DFF" w:rsidRDefault="006F2309">
      <w:pPr>
        <w:suppressAutoHyphens w:val="0"/>
        <w:rPr>
          <w:rFonts w:ascii="Arial" w:hAnsi="Arial" w:cs="Arial"/>
          <w:lang w:val="en-US" w:eastAsia="ja-JP"/>
        </w:rPr>
      </w:pPr>
      <w:r w:rsidRPr="00D34DFF">
        <w:rPr>
          <w:rFonts w:ascii="Arial" w:hAnsi="Arial" w:cs="Arial"/>
          <w:b/>
          <w:lang w:val="en-US"/>
        </w:rPr>
        <w:br w:type="page"/>
      </w:r>
    </w:p>
    <w:tbl>
      <w:tblPr>
        <w:tblW w:w="9965" w:type="dxa"/>
        <w:tblInd w:w="14" w:type="dxa"/>
        <w:tblBorders>
          <w:top w:val="single" w:sz="8" w:space="0" w:color="00000A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5"/>
        <w:gridCol w:w="2834"/>
        <w:gridCol w:w="2836"/>
      </w:tblGrid>
      <w:tr w:rsidR="005773E9" w14:paraId="1DE840B5" w14:textId="77777777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14:paraId="75695E64" w14:textId="77777777" w:rsidR="005773E9" w:rsidRDefault="006F2309">
            <w:pPr>
              <w:pageBreakBefore/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D34DFF">
              <w:rPr>
                <w:lang w:val="en-US"/>
              </w:rPr>
              <w:lastRenderedPageBreak/>
              <w:br w:type="page"/>
            </w:r>
            <w:r>
              <w:rPr>
                <w:rFonts w:ascii="Arial" w:eastAsia="Calibri" w:hAnsi="Arial" w:cs="Arial"/>
                <w:sz w:val="28"/>
                <w:szCs w:val="28"/>
                <w:lang w:eastAsia="en-US"/>
              </w:rPr>
              <w:t>УДК _______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14:paraId="665712A5" w14:textId="77777777" w:rsidR="005773E9" w:rsidRDefault="006F2309">
            <w:pPr>
              <w:jc w:val="both"/>
            </w:pPr>
            <w:r>
              <w:rPr>
                <w:rFonts w:ascii="Arial" w:eastAsia="Calibri" w:hAnsi="Arial" w:cs="Arial"/>
                <w:sz w:val="28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14:paraId="35732892" w14:textId="77777777" w:rsidR="005773E9" w:rsidRDefault="006F2309">
            <w:pPr>
              <w:jc w:val="righ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en-US"/>
              </w:rPr>
              <w:t>IDT</w:t>
            </w:r>
          </w:p>
        </w:tc>
      </w:tr>
      <w:tr w:rsidR="005773E9" w14:paraId="224309B1" w14:textId="77777777">
        <w:trPr>
          <w:trHeight w:val="1092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2072728" w14:textId="77777777" w:rsidR="005773E9" w:rsidRDefault="005773E9">
            <w:pPr>
              <w:rPr>
                <w:rFonts w:ascii="Arial" w:eastAsia="Calibri" w:hAnsi="Arial" w:cs="Arial"/>
                <w:lang w:eastAsia="en-US"/>
              </w:rPr>
            </w:pPr>
          </w:p>
          <w:p w14:paraId="17762DB5" w14:textId="6004C389" w:rsidR="005773E9" w:rsidRDefault="006F2309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F07FD9" w:rsidRPr="00F07FD9">
              <w:rPr>
                <w:rFonts w:ascii="Arial" w:eastAsia="Calibri" w:hAnsi="Arial" w:cs="Arial"/>
                <w:lang w:eastAsia="en-US"/>
              </w:rPr>
              <w:t xml:space="preserve">изделия медицинские для диагностики </w:t>
            </w:r>
            <w:proofErr w:type="spellStart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>in</w:t>
            </w:r>
            <w:proofErr w:type="spellEnd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 xml:space="preserve"> </w:t>
            </w:r>
            <w:proofErr w:type="spellStart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>vitro</w:t>
            </w:r>
            <w:proofErr w:type="spellEnd"/>
            <w:r w:rsidR="00F07FD9" w:rsidRPr="00F07FD9">
              <w:rPr>
                <w:rFonts w:ascii="Arial" w:eastAsia="Calibri" w:hAnsi="Arial" w:cs="Arial"/>
                <w:lang w:eastAsia="en-US"/>
              </w:rPr>
              <w:t xml:space="preserve">, диагностическими реактивы </w:t>
            </w:r>
            <w:proofErr w:type="spellStart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>in</w:t>
            </w:r>
            <w:proofErr w:type="spellEnd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 xml:space="preserve"> </w:t>
            </w:r>
            <w:proofErr w:type="spellStart"/>
            <w:r w:rsidR="00F07FD9" w:rsidRPr="00F07FD9">
              <w:rPr>
                <w:rFonts w:ascii="Arial" w:eastAsia="Calibri" w:hAnsi="Arial" w:cs="Arial"/>
                <w:i/>
                <w:iCs/>
                <w:lang w:eastAsia="en-US"/>
              </w:rPr>
              <w:t>vitro</w:t>
            </w:r>
            <w:proofErr w:type="spellEnd"/>
            <w:r w:rsidR="00F07FD9" w:rsidRPr="00F07FD9">
              <w:rPr>
                <w:rFonts w:ascii="Arial" w:eastAsia="Calibri" w:hAnsi="Arial" w:cs="Arial"/>
                <w:lang w:eastAsia="en-US"/>
              </w:rPr>
              <w:t xml:space="preserve"> для окрашивания, красящие вещества, красители, хромогенные реагенты, </w:t>
            </w:r>
            <w:proofErr w:type="spellStart"/>
            <w:r w:rsidR="00F07FD9" w:rsidRPr="00F07FD9">
              <w:rPr>
                <w:rFonts w:ascii="Arial" w:eastAsia="Calibri" w:hAnsi="Arial" w:cs="Arial"/>
                <w:lang w:eastAsia="en-US"/>
              </w:rPr>
              <w:t>лектины</w:t>
            </w:r>
            <w:proofErr w:type="spellEnd"/>
            <w:r w:rsidR="00F07FD9" w:rsidRPr="00F07FD9">
              <w:rPr>
                <w:rFonts w:ascii="Arial" w:eastAsia="Calibri" w:hAnsi="Arial" w:cs="Arial"/>
                <w:lang w:eastAsia="en-US"/>
              </w:rPr>
              <w:t xml:space="preserve">, </w:t>
            </w:r>
            <w:proofErr w:type="spellStart"/>
            <w:r w:rsidR="00F07FD9" w:rsidRPr="00F07FD9">
              <w:rPr>
                <w:rFonts w:ascii="Arial" w:eastAsia="Calibri" w:hAnsi="Arial" w:cs="Arial"/>
                <w:lang w:eastAsia="en-US"/>
              </w:rPr>
              <w:t>флюорохромы</w:t>
            </w:r>
            <w:proofErr w:type="spellEnd"/>
            <w:r w:rsidR="00F07FD9" w:rsidRPr="00F07FD9">
              <w:rPr>
                <w:rFonts w:ascii="Arial" w:eastAsia="Calibri" w:hAnsi="Arial" w:cs="Arial"/>
                <w:lang w:eastAsia="en-US"/>
              </w:rPr>
              <w:t>, зонды нуклеиновых кислот, антитела</w:t>
            </w:r>
          </w:p>
          <w:p w14:paraId="2BC43C1E" w14:textId="77777777" w:rsidR="005773E9" w:rsidRDefault="005773E9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00D78706" w14:textId="77777777" w:rsidR="005773E9" w:rsidRDefault="005773E9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14:paraId="67639BBD" w14:textId="77777777" w:rsidR="005773E9" w:rsidRDefault="006F2309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Д</w:t>
      </w:r>
      <w:proofErr w:type="spellStart"/>
      <w:r>
        <w:rPr>
          <w:rFonts w:ascii="Arial" w:hAnsi="Arial" w:cs="Arial"/>
        </w:rPr>
        <w:t>иректор</w:t>
      </w:r>
      <w:proofErr w:type="spellEnd"/>
      <w:r>
        <w:rPr>
          <w:rFonts w:ascii="Arial" w:hAnsi="Arial" w:cs="Arial"/>
        </w:rPr>
        <w:tab/>
        <w:t>__________</w:t>
      </w:r>
      <w:r>
        <w:rPr>
          <w:rFonts w:ascii="Arial" w:hAnsi="Arial" w:cs="Arial"/>
          <w:lang w:val="en-US"/>
        </w:rPr>
        <w:t>___________</w:t>
      </w:r>
    </w:p>
    <w:p w14:paraId="735A8217" w14:textId="77777777" w:rsidR="005773E9" w:rsidRDefault="005773E9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</w:p>
    <w:p w14:paraId="723DAF41" w14:textId="77777777" w:rsidR="005773E9" w:rsidRDefault="006F2309">
      <w:pPr>
        <w:widowControl w:val="0"/>
        <w:tabs>
          <w:tab w:val="left" w:pos="4111"/>
          <w:tab w:val="left" w:pos="7938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Руководитель разработки</w:t>
      </w: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  <w:lang w:val="en-US"/>
        </w:rPr>
        <w:t>____________</w:t>
      </w:r>
    </w:p>
    <w:p w14:paraId="4379370A" w14:textId="77777777" w:rsidR="005773E9" w:rsidRDefault="005773E9">
      <w:pPr>
        <w:widowControl w:val="0"/>
        <w:rPr>
          <w:rFonts w:ascii="Arial" w:hAnsi="Arial" w:cs="Arial"/>
        </w:rPr>
      </w:pPr>
    </w:p>
    <w:p w14:paraId="1C41602A" w14:textId="77777777" w:rsidR="005773E9" w:rsidRDefault="005773E9">
      <w:pPr>
        <w:widowControl w:val="0"/>
        <w:shd w:val="clear" w:color="auto" w:fill="FFFFFF"/>
        <w:tabs>
          <w:tab w:val="left" w:pos="720"/>
        </w:tabs>
        <w:jc w:val="center"/>
      </w:pPr>
    </w:p>
    <w:sectPr w:rsidR="005773E9">
      <w:headerReference w:type="first" r:id="rId29"/>
      <w:footerReference w:type="first" r:id="rId30"/>
      <w:pgSz w:w="11906" w:h="16838"/>
      <w:pgMar w:top="680" w:right="851" w:bottom="249" w:left="1701" w:header="0" w:footer="540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8B765" w14:textId="77777777" w:rsidR="00420557" w:rsidRDefault="00420557">
      <w:pPr>
        <w:spacing w:after="0" w:line="240" w:lineRule="auto"/>
      </w:pPr>
      <w:r>
        <w:separator/>
      </w:r>
    </w:p>
  </w:endnote>
  <w:endnote w:type="continuationSeparator" w:id="0">
    <w:p w14:paraId="62175047" w14:textId="77777777" w:rsidR="00420557" w:rsidRDefault="00420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7815848"/>
    </w:sdtPr>
    <w:sdtEndPr/>
    <w:sdtContent>
      <w:p w14:paraId="6AA31FFA" w14:textId="61116C0F" w:rsidR="006B03C2" w:rsidRDefault="006B03C2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B7">
          <w:rPr>
            <w:noProof/>
          </w:rPr>
          <w:t>14</w:t>
        </w:r>
        <w:r>
          <w:fldChar w:fldCharType="end"/>
        </w:r>
      </w:p>
    </w:sdtContent>
  </w:sdt>
  <w:p w14:paraId="0F0EB2C2" w14:textId="77777777" w:rsidR="006B03C2" w:rsidRDefault="006B03C2">
    <w:pPr>
      <w:pStyle w:val="ab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007866"/>
    </w:sdtPr>
    <w:sdtEndPr/>
    <w:sdtContent>
      <w:p w14:paraId="2786EA31" w14:textId="59A1B0C8" w:rsidR="006B03C2" w:rsidRDefault="006B03C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B7">
          <w:rPr>
            <w:noProof/>
          </w:rPr>
          <w:t>15</w:t>
        </w:r>
        <w:r>
          <w:fldChar w:fldCharType="end"/>
        </w:r>
      </w:p>
    </w:sdtContent>
  </w:sdt>
  <w:p w14:paraId="7DD32A0C" w14:textId="77777777" w:rsidR="006B03C2" w:rsidRDefault="006B03C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9638985"/>
    </w:sdtPr>
    <w:sdtEndPr/>
    <w:sdtContent>
      <w:p w14:paraId="167DEE3B" w14:textId="21D5FCF3" w:rsidR="006B03C2" w:rsidRDefault="006B03C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B7">
          <w:rPr>
            <w:noProof/>
          </w:rPr>
          <w:t>1</w:t>
        </w:r>
        <w:r>
          <w:fldChar w:fldCharType="end"/>
        </w:r>
      </w:p>
    </w:sdtContent>
  </w:sdt>
  <w:p w14:paraId="78291583" w14:textId="77777777" w:rsidR="006B03C2" w:rsidRDefault="006B03C2">
    <w:pPr>
      <w:pStyle w:val="ab"/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EA95E" w14:textId="77777777" w:rsidR="00420557" w:rsidRDefault="00420557">
      <w:pPr>
        <w:spacing w:after="0" w:line="240" w:lineRule="auto"/>
      </w:pPr>
      <w:r>
        <w:separator/>
      </w:r>
    </w:p>
  </w:footnote>
  <w:footnote w:type="continuationSeparator" w:id="0">
    <w:p w14:paraId="59F90BAE" w14:textId="77777777" w:rsidR="00420557" w:rsidRDefault="00420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A4620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14:paraId="00210B3A" w14:textId="4B7FE9AC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 xml:space="preserve">ГОСТ Р ИСО </w:t>
    </w:r>
    <w:r w:rsidRPr="00E043B7">
      <w:rPr>
        <w:rFonts w:ascii="Arial" w:eastAsia="Calibri" w:hAnsi="Arial" w:cs="Arial"/>
        <w:b/>
        <w:lang w:eastAsia="en-US"/>
      </w:rPr>
      <w:t>19001</w:t>
    </w:r>
    <w:r>
      <w:rPr>
        <w:rFonts w:ascii="Arial" w:eastAsia="Calibri" w:hAnsi="Arial" w:cs="Arial"/>
        <w:b/>
        <w:lang w:eastAsia="en-US"/>
      </w:rPr>
      <w:t>–20ХХ</w:t>
    </w:r>
  </w:p>
  <w:p w14:paraId="0EB85C22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14:paraId="51B33056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4B87C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14:paraId="357626F8" w14:textId="074F8BA0" w:rsidR="006B03C2" w:rsidRDefault="006B03C2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  <w:t xml:space="preserve">  ГОСТ Р ИСО</w:t>
    </w:r>
    <w:r w:rsidR="00F07FD9">
      <w:rPr>
        <w:rFonts w:ascii="Arial" w:eastAsia="Calibri" w:hAnsi="Arial" w:cs="Arial"/>
        <w:b/>
        <w:lang w:eastAsia="en-US"/>
      </w:rPr>
      <w:t xml:space="preserve"> 19001</w:t>
    </w:r>
    <w:r>
      <w:rPr>
        <w:rFonts w:ascii="Arial" w:eastAsia="Calibri" w:hAnsi="Arial" w:cs="Arial"/>
        <w:b/>
        <w:lang w:eastAsia="en-US"/>
      </w:rPr>
      <w:t>–20ХХ</w:t>
    </w:r>
  </w:p>
  <w:p w14:paraId="10C1BB3C" w14:textId="77777777" w:rsidR="006B03C2" w:rsidRDefault="006B03C2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  <w:t>(проект, первая редакция)</w:t>
    </w:r>
  </w:p>
  <w:p w14:paraId="733896AE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F3AC9" w14:textId="77777777" w:rsidR="006B03C2" w:rsidRDefault="006B03C2">
    <w:pPr>
      <w:pStyle w:val="ad"/>
    </w:pPr>
  </w:p>
  <w:p w14:paraId="65AF0397" w14:textId="391E81FC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  <w:t>ГОСТ Р ИСО</w:t>
    </w:r>
    <w:r w:rsidR="00F07FD9">
      <w:rPr>
        <w:rFonts w:ascii="Arial" w:eastAsia="Calibri" w:hAnsi="Arial" w:cs="Arial"/>
        <w:b/>
        <w:lang w:eastAsia="en-US"/>
      </w:rPr>
      <w:t xml:space="preserve"> 19001</w:t>
    </w:r>
    <w:r w:rsidRPr="006B03C2">
      <w:rPr>
        <w:rFonts w:ascii="Arial" w:eastAsia="Calibri" w:hAnsi="Arial" w:cs="Arial"/>
        <w:b/>
        <w:lang w:eastAsia="en-US"/>
      </w:rPr>
      <w:t>-</w:t>
    </w:r>
    <w:r>
      <w:rPr>
        <w:rFonts w:ascii="Arial" w:eastAsia="Calibri" w:hAnsi="Arial" w:cs="Arial"/>
        <w:b/>
        <w:lang w:eastAsia="en-US"/>
      </w:rPr>
      <w:t>20ХХ</w:t>
    </w:r>
  </w:p>
  <w:p w14:paraId="06299824" w14:textId="77777777" w:rsidR="006B03C2" w:rsidRDefault="006B03C2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  <w:t>(проект,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9CE"/>
    <w:multiLevelType w:val="hybridMultilevel"/>
    <w:tmpl w:val="60DC6032"/>
    <w:lvl w:ilvl="0" w:tplc="3A3671A6">
      <w:start w:val="1"/>
      <w:numFmt w:val="low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0216231B"/>
    <w:multiLevelType w:val="multilevel"/>
    <w:tmpl w:val="0216231B"/>
    <w:lvl w:ilvl="0">
      <w:start w:val="2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1C2A15"/>
    <w:multiLevelType w:val="hybridMultilevel"/>
    <w:tmpl w:val="18E2E6FA"/>
    <w:lvl w:ilvl="0" w:tplc="3192208C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109CF92E"/>
    <w:multiLevelType w:val="multilevel"/>
    <w:tmpl w:val="109CF92E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90CDE7"/>
    <w:multiLevelType w:val="multilevel"/>
    <w:tmpl w:val="1190CDE7"/>
    <w:lvl w:ilvl="0">
      <w:start w:val="2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200854"/>
    <w:multiLevelType w:val="multilevel"/>
    <w:tmpl w:val="12200854"/>
    <w:lvl w:ilvl="0">
      <w:start w:val="4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E0F76"/>
    <w:multiLevelType w:val="multilevel"/>
    <w:tmpl w:val="140E0F76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DC4CD1"/>
    <w:multiLevelType w:val="multilevel"/>
    <w:tmpl w:val="15DC4CD1"/>
    <w:lvl w:ilvl="0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22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8" w15:restartNumberingAfterBreak="0">
    <w:nsid w:val="1BEFD79F"/>
    <w:multiLevelType w:val="multilevel"/>
    <w:tmpl w:val="1BEFD79F"/>
    <w:lvl w:ilvl="0">
      <w:start w:val="14"/>
      <w:numFmt w:val="decimal"/>
      <w:lvlText w:val="[%1]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16E9E8"/>
    <w:multiLevelType w:val="multilevel"/>
    <w:tmpl w:val="1F16E9E8"/>
    <w:lvl w:ilvl="0">
      <w:start w:val="1"/>
      <w:numFmt w:val="lowerRoman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DD39C1"/>
    <w:multiLevelType w:val="multilevel"/>
    <w:tmpl w:val="30DD39C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52255A"/>
    <w:multiLevelType w:val="multilevel"/>
    <w:tmpl w:val="3352255A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622C31"/>
    <w:multiLevelType w:val="multilevel"/>
    <w:tmpl w:val="40622C31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13" w15:restartNumberingAfterBreak="0">
    <w:nsid w:val="41A7C4C9"/>
    <w:multiLevelType w:val="multilevel"/>
    <w:tmpl w:val="41A7C4C9"/>
    <w:lvl w:ilvl="0">
      <w:start w:val="20"/>
      <w:numFmt w:val="decimal"/>
      <w:lvlText w:val="[%1]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803A2E"/>
    <w:multiLevelType w:val="multilevel"/>
    <w:tmpl w:val="43803A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937C2"/>
    <w:multiLevelType w:val="multilevel"/>
    <w:tmpl w:val="441937C2"/>
    <w:lvl w:ilvl="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017C3"/>
    <w:multiLevelType w:val="multilevel"/>
    <w:tmpl w:val="470017C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127F8"/>
    <w:multiLevelType w:val="multilevel"/>
    <w:tmpl w:val="4DB127F8"/>
    <w:lvl w:ilvl="0">
      <w:start w:val="4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92103F"/>
    <w:multiLevelType w:val="hybridMultilevel"/>
    <w:tmpl w:val="3702C8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61449"/>
    <w:multiLevelType w:val="multilevel"/>
    <w:tmpl w:val="58561449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BD062C2"/>
    <w:multiLevelType w:val="multilevel"/>
    <w:tmpl w:val="5BD062C2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B5414B"/>
    <w:multiLevelType w:val="multilevel"/>
    <w:tmpl w:val="5EB5414B"/>
    <w:lvl w:ilvl="0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en-US"/>
      </w:rPr>
    </w:lvl>
    <w:lvl w:ilvl="1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2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22" w15:restartNumberingAfterBreak="0">
    <w:nsid w:val="5EB541A3"/>
    <w:multiLevelType w:val="multilevel"/>
    <w:tmpl w:val="5EB541A3"/>
    <w:lvl w:ilvl="0">
      <w:start w:val="1"/>
      <w:numFmt w:val="lowerLetter"/>
      <w:lvlText w:val="%1)"/>
      <w:lvlJc w:val="left"/>
      <w:pPr>
        <w:ind w:left="1399" w:hanging="403"/>
        <w:jc w:val="right"/>
      </w:pPr>
      <w:rPr>
        <w:rFonts w:ascii="Arial" w:eastAsia="Cambria" w:hAnsi="Arial" w:cs="Arial" w:hint="default"/>
        <w:color w:val="231F20"/>
        <w:spacing w:val="-2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408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17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25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434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44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45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459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68" w:hanging="403"/>
      </w:pPr>
      <w:rPr>
        <w:rFonts w:hint="default"/>
        <w:lang w:val="en-US" w:eastAsia="en-US" w:bidi="en-US"/>
      </w:rPr>
    </w:lvl>
  </w:abstractNum>
  <w:abstractNum w:abstractNumId="23" w15:restartNumberingAfterBreak="0">
    <w:nsid w:val="5EB541AE"/>
    <w:multiLevelType w:val="multilevel"/>
    <w:tmpl w:val="5EB541AE"/>
    <w:lvl w:ilvl="0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4" w15:restartNumberingAfterBreak="0">
    <w:nsid w:val="5EB541B9"/>
    <w:multiLevelType w:val="multilevel"/>
    <w:tmpl w:val="5EB541B9"/>
    <w:lvl w:ilvl="0">
      <w:start w:val="1"/>
      <w:numFmt w:val="lowerLetter"/>
      <w:lvlText w:val="%1)"/>
      <w:lvlJc w:val="left"/>
      <w:pPr>
        <w:ind w:left="1399" w:hanging="403"/>
      </w:pPr>
      <w:rPr>
        <w:rFonts w:ascii="Arial" w:eastAsia="Cambria" w:hAnsi="Arial" w:cs="Arial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408" w:hanging="403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17" w:hanging="403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25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434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442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451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459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68" w:hanging="403"/>
      </w:pPr>
      <w:rPr>
        <w:rFonts w:hint="default"/>
        <w:lang w:val="en-US" w:eastAsia="en-US" w:bidi="en-US"/>
      </w:rPr>
    </w:lvl>
  </w:abstractNum>
  <w:abstractNum w:abstractNumId="25" w15:restartNumberingAfterBreak="0">
    <w:nsid w:val="5EB541DA"/>
    <w:multiLevelType w:val="multilevel"/>
    <w:tmpl w:val="5EB541DA"/>
    <w:lvl w:ilvl="0">
      <w:start w:val="1"/>
      <w:numFmt w:val="decimal"/>
      <w:lvlText w:val="[%1]"/>
      <w:lvlJc w:val="left"/>
      <w:pPr>
        <w:ind w:left="1677" w:hanging="681"/>
        <w:jc w:val="right"/>
      </w:pPr>
      <w:rPr>
        <w:rFonts w:ascii="Arial" w:eastAsia="Cambria" w:hAnsi="Arial" w:cs="Arial" w:hint="default"/>
        <w:i w:val="0"/>
        <w:color w:val="231F20"/>
        <w:spacing w:val="-12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2660" w:hanging="68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641" w:hanging="68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621" w:hanging="68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602" w:hanging="68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582" w:hanging="68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563" w:hanging="68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543" w:hanging="68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524" w:hanging="681"/>
      </w:pPr>
      <w:rPr>
        <w:rFonts w:hint="default"/>
        <w:lang w:val="en-US" w:eastAsia="en-US" w:bidi="en-US"/>
      </w:rPr>
    </w:lvl>
  </w:abstractNum>
  <w:abstractNum w:abstractNumId="26" w15:restartNumberingAfterBreak="0">
    <w:nsid w:val="6016694C"/>
    <w:multiLevelType w:val="hybridMultilevel"/>
    <w:tmpl w:val="CA3CE9CA"/>
    <w:lvl w:ilvl="0" w:tplc="CAACBBC4">
      <w:start w:val="3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33F377E"/>
    <w:multiLevelType w:val="multilevel"/>
    <w:tmpl w:val="633F37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F438D"/>
    <w:multiLevelType w:val="multilevel"/>
    <w:tmpl w:val="66EF438D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68079A"/>
    <w:multiLevelType w:val="multilevel"/>
    <w:tmpl w:val="6B68079A"/>
    <w:lvl w:ilvl="0">
      <w:start w:val="24"/>
      <w:numFmt w:val="decimal"/>
      <w:lvlText w:val="[%1]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843456"/>
    <w:multiLevelType w:val="hybridMultilevel"/>
    <w:tmpl w:val="8E6669F0"/>
    <w:lvl w:ilvl="0" w:tplc="6CFA0A82">
      <w:start w:val="1"/>
      <w:numFmt w:val="low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1" w15:restartNumberingAfterBreak="0">
    <w:nsid w:val="7FDCC233"/>
    <w:multiLevelType w:val="multilevel"/>
    <w:tmpl w:val="7FDCC233"/>
    <w:lvl w:ilvl="0">
      <w:start w:val="6"/>
      <w:numFmt w:val="decimal"/>
      <w:lvlText w:val="[%1]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1"/>
  </w:num>
  <w:num w:numId="3">
    <w:abstractNumId w:val="14"/>
  </w:num>
  <w:num w:numId="4">
    <w:abstractNumId w:val="27"/>
  </w:num>
  <w:num w:numId="5">
    <w:abstractNumId w:val="15"/>
  </w:num>
  <w:num w:numId="6">
    <w:abstractNumId w:val="7"/>
  </w:num>
  <w:num w:numId="7">
    <w:abstractNumId w:val="10"/>
  </w:num>
  <w:num w:numId="8">
    <w:abstractNumId w:val="16"/>
  </w:num>
  <w:num w:numId="9">
    <w:abstractNumId w:val="19"/>
  </w:num>
  <w:num w:numId="10">
    <w:abstractNumId w:val="22"/>
  </w:num>
  <w:num w:numId="11">
    <w:abstractNumId w:val="23"/>
  </w:num>
  <w:num w:numId="12">
    <w:abstractNumId w:val="24"/>
  </w:num>
  <w:num w:numId="13">
    <w:abstractNumId w:val="25"/>
  </w:num>
  <w:num w:numId="14">
    <w:abstractNumId w:val="26"/>
  </w:num>
  <w:num w:numId="15">
    <w:abstractNumId w:val="20"/>
  </w:num>
  <w:num w:numId="16">
    <w:abstractNumId w:val="5"/>
  </w:num>
  <w:num w:numId="17">
    <w:abstractNumId w:val="17"/>
  </w:num>
  <w:num w:numId="18">
    <w:abstractNumId w:val="1"/>
  </w:num>
  <w:num w:numId="19">
    <w:abstractNumId w:val="9"/>
  </w:num>
  <w:num w:numId="20">
    <w:abstractNumId w:val="4"/>
  </w:num>
  <w:num w:numId="21">
    <w:abstractNumId w:val="28"/>
  </w:num>
  <w:num w:numId="22">
    <w:abstractNumId w:val="6"/>
  </w:num>
  <w:num w:numId="23">
    <w:abstractNumId w:val="11"/>
  </w:num>
  <w:num w:numId="24">
    <w:abstractNumId w:val="3"/>
  </w:num>
  <w:num w:numId="25">
    <w:abstractNumId w:val="31"/>
  </w:num>
  <w:num w:numId="26">
    <w:abstractNumId w:val="8"/>
  </w:num>
  <w:num w:numId="27">
    <w:abstractNumId w:val="13"/>
  </w:num>
  <w:num w:numId="28">
    <w:abstractNumId w:val="29"/>
  </w:num>
  <w:num w:numId="29">
    <w:abstractNumId w:val="2"/>
  </w:num>
  <w:num w:numId="30">
    <w:abstractNumId w:val="18"/>
  </w:num>
  <w:num w:numId="31">
    <w:abstractNumId w:val="0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3E9"/>
    <w:rsid w:val="000323CE"/>
    <w:rsid w:val="00051076"/>
    <w:rsid w:val="0011425E"/>
    <w:rsid w:val="002105C0"/>
    <w:rsid w:val="002543FA"/>
    <w:rsid w:val="003765F2"/>
    <w:rsid w:val="00420557"/>
    <w:rsid w:val="00443171"/>
    <w:rsid w:val="00464790"/>
    <w:rsid w:val="00471598"/>
    <w:rsid w:val="004D55CF"/>
    <w:rsid w:val="00503E46"/>
    <w:rsid w:val="00537352"/>
    <w:rsid w:val="0057511F"/>
    <w:rsid w:val="005769D2"/>
    <w:rsid w:val="005773E9"/>
    <w:rsid w:val="00656657"/>
    <w:rsid w:val="006B03C2"/>
    <w:rsid w:val="006F2309"/>
    <w:rsid w:val="007A0941"/>
    <w:rsid w:val="007E726C"/>
    <w:rsid w:val="008E7F12"/>
    <w:rsid w:val="0094688A"/>
    <w:rsid w:val="009E5279"/>
    <w:rsid w:val="00A12990"/>
    <w:rsid w:val="00A20051"/>
    <w:rsid w:val="00A24D33"/>
    <w:rsid w:val="00A31078"/>
    <w:rsid w:val="00A57692"/>
    <w:rsid w:val="00AF6526"/>
    <w:rsid w:val="00C307DB"/>
    <w:rsid w:val="00C5044F"/>
    <w:rsid w:val="00C64031"/>
    <w:rsid w:val="00D34DFF"/>
    <w:rsid w:val="00D4090D"/>
    <w:rsid w:val="00DA3975"/>
    <w:rsid w:val="00E043B7"/>
    <w:rsid w:val="00E0451E"/>
    <w:rsid w:val="00E06755"/>
    <w:rsid w:val="00E14EA2"/>
    <w:rsid w:val="00E65C63"/>
    <w:rsid w:val="00EF1FCC"/>
    <w:rsid w:val="00EF2E88"/>
    <w:rsid w:val="00F07FD9"/>
    <w:rsid w:val="00FE7B62"/>
    <w:rsid w:val="00FF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7ADE0"/>
  <w15:docId w15:val="{1F7C424A-0A9F-4831-8D3C-5EAD193F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iPriority="9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uiPriority="99"/>
    <w:lsdException w:name="footer" w:uiPriority="99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11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5">
    <w:name w:val="annotation text"/>
    <w:basedOn w:val="a"/>
    <w:link w:val="a6"/>
    <w:uiPriority w:val="99"/>
    <w:unhideWhenUsed/>
    <w:qFormat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unhideWhenUsed/>
    <w:qFormat/>
    <w:rPr>
      <w:b/>
      <w:bCs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endnote text"/>
    <w:basedOn w:val="a"/>
    <w:qFormat/>
    <w:rPr>
      <w:sz w:val="20"/>
      <w:szCs w:val="20"/>
    </w:rPr>
  </w:style>
  <w:style w:type="paragraph" w:styleId="ab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ad">
    <w:name w:val="header"/>
    <w:basedOn w:val="a"/>
    <w:uiPriority w:val="99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12">
    <w:name w:val="index 1"/>
    <w:basedOn w:val="a"/>
    <w:next w:val="a"/>
    <w:unhideWhenUsed/>
  </w:style>
  <w:style w:type="paragraph" w:styleId="ae">
    <w:name w:val="index heading"/>
    <w:basedOn w:val="a"/>
    <w:next w:val="12"/>
    <w:qFormat/>
    <w:pPr>
      <w:suppressLineNumbers/>
    </w:pPr>
    <w:rPr>
      <w:rFonts w:cs="Mangal"/>
    </w:rPr>
  </w:style>
  <w:style w:type="paragraph" w:styleId="af">
    <w:name w:val="List"/>
    <w:basedOn w:val="a4"/>
    <w:rPr>
      <w:rFonts w:cs="Mangal"/>
    </w:r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</w:pPr>
  </w:style>
  <w:style w:type="paragraph" w:styleId="af1">
    <w:name w:val="Plain Text"/>
    <w:basedOn w:val="a"/>
    <w:qFormat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styleId="af2">
    <w:name w:val="Subtitle"/>
    <w:basedOn w:val="a"/>
    <w:next w:val="a"/>
    <w:link w:val="af3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4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13">
    <w:name w:val="toc 1"/>
    <w:basedOn w:val="a"/>
    <w:next w:val="a"/>
    <w:uiPriority w:val="39"/>
    <w:unhideWhenUsed/>
    <w:qFormat/>
    <w:pPr>
      <w:spacing w:before="240" w:after="240"/>
    </w:pPr>
    <w:rPr>
      <w:rFonts w:ascii="Arial" w:hAnsi="Arial" w:cs="Arial"/>
      <w:b/>
      <w:sz w:val="28"/>
      <w:szCs w:val="28"/>
    </w:rPr>
  </w:style>
  <w:style w:type="paragraph" w:styleId="21">
    <w:name w:val="toc 2"/>
    <w:basedOn w:val="a"/>
    <w:next w:val="a"/>
    <w:uiPriority w:val="39"/>
    <w:unhideWhenUsed/>
    <w:qFormat/>
    <w:pPr>
      <w:suppressAutoHyphens w:val="0"/>
      <w:spacing w:after="100"/>
      <w:ind w:left="220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"/>
    <w:next w:val="a"/>
    <w:uiPriority w:val="39"/>
    <w:unhideWhenUsed/>
    <w:qFormat/>
    <w:pPr>
      <w:suppressAutoHyphens w:val="0"/>
      <w:spacing w:after="100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5">
    <w:name w:val="annotation reference"/>
    <w:basedOn w:val="a0"/>
    <w:uiPriority w:val="99"/>
    <w:unhideWhenUsed/>
    <w:rPr>
      <w:sz w:val="16"/>
      <w:szCs w:val="16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endnote reference"/>
    <w:qFormat/>
    <w:rPr>
      <w:vertAlign w:val="superscript"/>
    </w:r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footnote reference"/>
    <w:semiHidden/>
    <w:qFormat/>
    <w:rPr>
      <w:vertAlign w:val="superscript"/>
    </w:rPr>
  </w:style>
  <w:style w:type="character" w:styleId="af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b">
    <w:name w:val="Strong"/>
    <w:uiPriority w:val="22"/>
    <w:qFormat/>
    <w:rPr>
      <w:b/>
      <w:bCs/>
    </w:rPr>
  </w:style>
  <w:style w:type="table" w:styleId="af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Верхний колонтитул Знак"/>
    <w:uiPriority w:val="99"/>
    <w:qFormat/>
    <w:rPr>
      <w:rFonts w:ascii="Arial" w:hAnsi="Arial" w:cs="Arial"/>
      <w:lang w:eastAsia="en-US"/>
    </w:rPr>
  </w:style>
  <w:style w:type="character" w:customStyle="1" w:styleId="afe">
    <w:name w:val="Текст Знак"/>
    <w:qFormat/>
    <w:rPr>
      <w:rFonts w:ascii="Courier New" w:hAnsi="Courier New"/>
      <w:lang w:eastAsia="ja-JP"/>
    </w:rPr>
  </w:style>
  <w:style w:type="character" w:customStyle="1" w:styleId="aff">
    <w:name w:val="Основной текст Знак"/>
    <w:qFormat/>
    <w:rPr>
      <w:rFonts w:ascii="Arial" w:hAnsi="Arial"/>
      <w:b/>
      <w:sz w:val="36"/>
      <w:lang w:eastAsia="ja-JP"/>
    </w:rPr>
  </w:style>
  <w:style w:type="character" w:customStyle="1" w:styleId="aff0">
    <w:name w:val="Нижний колонтитул Знак"/>
    <w:uiPriority w:val="99"/>
    <w:qFormat/>
    <w:rPr>
      <w:sz w:val="24"/>
      <w:szCs w:val="24"/>
    </w:rPr>
  </w:style>
  <w:style w:type="character" w:customStyle="1" w:styleId="shorttext">
    <w:name w:val="short_text"/>
    <w:basedOn w:val="a0"/>
    <w:qFormat/>
  </w:style>
  <w:style w:type="character" w:customStyle="1" w:styleId="hps">
    <w:name w:val="hps"/>
    <w:basedOn w:val="a0"/>
    <w:qFormat/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aff1">
    <w:name w:val="гост_набор Знак"/>
    <w:qFormat/>
    <w:locked/>
    <w:rPr>
      <w:rFonts w:ascii="Arial" w:hAnsi="Arial" w:cs="Arial"/>
      <w:sz w:val="24"/>
    </w:rPr>
  </w:style>
  <w:style w:type="character" w:customStyle="1" w:styleId="aff2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customStyle="1" w:styleId="w">
    <w:name w:val="w"/>
    <w:qFormat/>
  </w:style>
  <w:style w:type="character" w:customStyle="1" w:styleId="30">
    <w:name w:val="Заголовок 3 Знак"/>
    <w:link w:val="3"/>
    <w:uiPriority w:val="9"/>
    <w:qFormat/>
    <w:rPr>
      <w:b/>
      <w:bCs/>
      <w:sz w:val="27"/>
      <w:szCs w:val="27"/>
    </w:rPr>
  </w:style>
  <w:style w:type="character" w:customStyle="1" w:styleId="tagtrans">
    <w:name w:val="tag_trans"/>
    <w:qFormat/>
  </w:style>
  <w:style w:type="character" w:customStyle="1" w:styleId="extended-textfull">
    <w:name w:val="extended-text__full"/>
    <w:qFormat/>
  </w:style>
  <w:style w:type="character" w:customStyle="1" w:styleId="definition">
    <w:name w:val="definition"/>
    <w:qFormat/>
  </w:style>
  <w:style w:type="character" w:customStyle="1" w:styleId="aff3">
    <w:name w:val="Текст концевой сноски Знак"/>
    <w:basedOn w:val="a0"/>
    <w:qFormat/>
  </w:style>
  <w:style w:type="character" w:customStyle="1" w:styleId="14">
    <w:name w:val="Замещающий текст1"/>
    <w:basedOn w:val="a0"/>
    <w:uiPriority w:val="99"/>
    <w:semiHidden/>
    <w:qFormat/>
    <w:rPr>
      <w:color w:val="808080"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f4">
    <w:name w:val="Символ сноски"/>
    <w:qFormat/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-11">
    <w:name w:val="Цветной список - Акцент 1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qFormat/>
    <w:pPr>
      <w:widowControl w:val="0"/>
      <w:suppressAutoHyphens/>
      <w:spacing w:line="300" w:lineRule="auto"/>
      <w:ind w:left="2280" w:right="2200" w:firstLine="720"/>
      <w:jc w:val="center"/>
    </w:pPr>
    <w:rPr>
      <w:rFonts w:eastAsia="Times New Roman"/>
      <w:sz w:val="28"/>
    </w:rPr>
  </w:style>
  <w:style w:type="paragraph" w:customStyle="1" w:styleId="aff5">
    <w:name w:val="Простой заголовок"/>
    <w:basedOn w:val="a"/>
    <w:qFormat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customStyle="1" w:styleId="aff6">
    <w:name w:val="гост_набор"/>
    <w:basedOn w:val="a"/>
    <w:qFormat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customStyle="1" w:styleId="src">
    <w:name w:val="src"/>
    <w:basedOn w:val="a"/>
    <w:qFormat/>
    <w:pPr>
      <w:spacing w:beforeAutospacing="1" w:afterAutospacing="1"/>
    </w:pPr>
  </w:style>
  <w:style w:type="paragraph" w:customStyle="1" w:styleId="16">
    <w:name w:val="Абзац списка1"/>
    <w:basedOn w:val="a"/>
    <w:uiPriority w:val="34"/>
    <w:qFormat/>
    <w:pPr>
      <w:ind w:left="720"/>
      <w:contextualSpacing/>
    </w:pPr>
  </w:style>
  <w:style w:type="paragraph" w:customStyle="1" w:styleId="FORMATTEXT">
    <w:name w:val=".FORMATTEXT"/>
    <w:uiPriority w:val="99"/>
    <w:qFormat/>
    <w:pPr>
      <w:widowControl w:val="0"/>
      <w:suppressAutoHyphens/>
    </w:pPr>
    <w:rPr>
      <w:rFonts w:ascii="Arial" w:eastAsia="Times New Roman" w:hAnsi="Arial" w:cs="Arial"/>
      <w:sz w:val="24"/>
    </w:rPr>
  </w:style>
  <w:style w:type="table" w:customStyle="1" w:styleId="17">
    <w:name w:val="Сетка таблицы1"/>
    <w:basedOn w:val="a1"/>
    <w:uiPriority w:val="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примечания Знак"/>
    <w:basedOn w:val="a0"/>
    <w:link w:val="a5"/>
    <w:uiPriority w:val="99"/>
    <w:semiHidden/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</w:rPr>
  </w:style>
  <w:style w:type="paragraph" w:customStyle="1" w:styleId="18">
    <w:name w:val="Заголовок оглавления1"/>
    <w:basedOn w:val="1"/>
    <w:next w:val="a"/>
    <w:uiPriority w:val="39"/>
    <w:unhideWhenUsed/>
    <w:qFormat/>
    <w:pPr>
      <w:suppressAutoHyphens w:val="0"/>
      <w:spacing w:before="240"/>
      <w:outlineLvl w:val="9"/>
    </w:pPr>
    <w:rPr>
      <w:b w:val="0"/>
      <w:bCs w:val="0"/>
      <w:sz w:val="32"/>
      <w:szCs w:val="32"/>
    </w:rPr>
  </w:style>
  <w:style w:type="character" w:customStyle="1" w:styleId="af3">
    <w:name w:val="Подзаголовок Знак"/>
    <w:basedOn w:val="a0"/>
    <w:link w:val="af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table" w:customStyle="1" w:styleId="41">
    <w:name w:val="Сетка таблицы4"/>
    <w:basedOn w:val="a1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4"/>
    <w:qFormat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50">
    <w:name w:val="Заголовок 5 Знак"/>
    <w:basedOn w:val="a0"/>
    <w:link w:val="5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  <w:autoSpaceDE w:val="0"/>
      <w:autoSpaceDN w:val="0"/>
      <w:spacing w:before="3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f7">
    <w:name w:val="List Paragraph"/>
    <w:basedOn w:val="a"/>
    <w:uiPriority w:val="34"/>
    <w:qFormat/>
    <w:rsid w:val="00EF2E88"/>
    <w:pPr>
      <w:ind w:left="720"/>
      <w:contextualSpacing/>
    </w:pPr>
  </w:style>
  <w:style w:type="paragraph" w:styleId="aff8">
    <w:name w:val="No Spacing"/>
    <w:uiPriority w:val="1"/>
    <w:qFormat/>
    <w:rsid w:val="00FE7B62"/>
    <w:pPr>
      <w:spacing w:before="240" w:after="0" w:line="276" w:lineRule="auto"/>
      <w:ind w:left="57" w:right="1123"/>
    </w:pPr>
    <w:rPr>
      <w:rFonts w:ascii="Arial" w:eastAsiaTheme="minorHAnsi" w:hAnsi="Arial" w:cs="Arial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34D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hyperlink" Target="http://www.gost.ru/" TargetMode="Externa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46</Pages>
  <Words>7533</Words>
  <Characters>42943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50376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Дом</cp:lastModifiedBy>
  <cp:revision>14</cp:revision>
  <cp:lastPrinted>2020-05-13T21:28:00Z</cp:lastPrinted>
  <dcterms:created xsi:type="dcterms:W3CDTF">2020-05-22T11:39:00Z</dcterms:created>
  <dcterms:modified xsi:type="dcterms:W3CDTF">2020-06-03T18:55:00Z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2052-10.7.0</vt:lpwstr>
  </property>
</Properties>
</file>